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B809A" w14:textId="2B618AFB" w:rsidR="00825786" w:rsidRPr="00DF38A6" w:rsidRDefault="00825786" w:rsidP="00825786">
      <w:pPr>
        <w:pStyle w:val="3GPPHeader"/>
        <w:spacing w:after="60"/>
        <w:rPr>
          <w:lang/>
        </w:rPr>
      </w:pPr>
      <w:r w:rsidRPr="007F60F6">
        <w:rPr>
          <w:lang w:val="en-US"/>
        </w:rPr>
        <w:t>3GPP TSG-RAN WG1 Meeting #96</w:t>
      </w:r>
      <w:r w:rsidRPr="007F60F6">
        <w:rPr>
          <w:lang w:val="en-US"/>
        </w:rPr>
        <w:tab/>
      </w:r>
      <w:r w:rsidRPr="00DF38A6">
        <w:rPr>
          <w:lang w:val="en-US"/>
        </w:rPr>
        <w:t>R1-19</w:t>
      </w:r>
      <w:r w:rsidR="00DF38A6" w:rsidRPr="00DF38A6">
        <w:rPr>
          <w:lang/>
        </w:rPr>
        <w:t>03184</w:t>
      </w:r>
    </w:p>
    <w:p w14:paraId="4940D21A" w14:textId="34F256B8" w:rsidR="007D7277" w:rsidRPr="00191F27" w:rsidRDefault="00825786" w:rsidP="00825786">
      <w:pPr>
        <w:pStyle w:val="3GPPHeader"/>
        <w:rPr>
          <w:rFonts w:cs="Arial"/>
        </w:rPr>
      </w:pPr>
      <w:r w:rsidRPr="007F60F6">
        <w:rPr>
          <w:lang w:val="en-US"/>
        </w:rPr>
        <w:t xml:space="preserve">Athens, Greece February 25th – 1st March 2019           </w:t>
      </w:r>
      <w:r w:rsidR="007D7277" w:rsidRPr="00191F27">
        <w:rPr>
          <w:rFonts w:cs="Arial"/>
        </w:rPr>
        <w:tab/>
        <w:t xml:space="preserve">(Revision of </w:t>
      </w:r>
      <w:r w:rsidR="00FD3C47">
        <w:rPr>
          <w:rFonts w:cs="Arial"/>
        </w:rPr>
        <w:t>R1-</w:t>
      </w:r>
      <w:r w:rsidR="00FD3C47" w:rsidRPr="00FD3C47">
        <w:rPr>
          <w:rFonts w:cs="Arial"/>
        </w:rPr>
        <w:t>1</w:t>
      </w:r>
      <w:r>
        <w:rPr>
          <w:rFonts w:cs="Arial"/>
          <w:lang/>
        </w:rPr>
        <w:t>901222</w:t>
      </w:r>
      <w:r w:rsidR="007D7277" w:rsidRPr="00191F27">
        <w:rPr>
          <w:rFonts w:cs="Arial"/>
        </w:rPr>
        <w:t>)</w:t>
      </w:r>
    </w:p>
    <w:p w14:paraId="56C91186" w14:textId="77777777" w:rsidR="007D7277" w:rsidRPr="00AD09E5" w:rsidRDefault="007D7277" w:rsidP="007D7277">
      <w:pPr>
        <w:pStyle w:val="3GPPHeader"/>
        <w:rPr>
          <w:rFonts w:cs="Arial"/>
        </w:rPr>
      </w:pPr>
    </w:p>
    <w:p w14:paraId="7AB238F6" w14:textId="77777777" w:rsidR="007D7277" w:rsidRPr="00191F27" w:rsidRDefault="007D7277" w:rsidP="007D7277">
      <w:pPr>
        <w:pStyle w:val="3GPPHeader"/>
        <w:rPr>
          <w:rFonts w:cs="Arial"/>
          <w:sz w:val="22"/>
          <w:szCs w:val="22"/>
          <w:lang w:val="en-US"/>
        </w:rPr>
      </w:pPr>
      <w:r w:rsidRPr="000C212F">
        <w:rPr>
          <w:rFonts w:cs="Arial"/>
          <w:sz w:val="22"/>
          <w:szCs w:val="22"/>
          <w:lang w:val="en-US"/>
        </w:rPr>
        <w:t>Agenda Item:</w:t>
      </w:r>
      <w:r w:rsidRPr="000C212F">
        <w:rPr>
          <w:rFonts w:cs="Arial"/>
          <w:sz w:val="22"/>
          <w:szCs w:val="22"/>
          <w:lang w:val="en-US"/>
        </w:rPr>
        <w:tab/>
      </w:r>
      <w:r w:rsidRPr="00B85F37">
        <w:rPr>
          <w:rFonts w:cs="Arial"/>
          <w:sz w:val="22"/>
          <w:szCs w:val="22"/>
          <w:lang w:val="en-US"/>
        </w:rPr>
        <w:t>7.2.4.6</w:t>
      </w:r>
    </w:p>
    <w:p w14:paraId="22403C2A" w14:textId="77777777" w:rsidR="007D7277" w:rsidRPr="000C212F" w:rsidRDefault="007D7277" w:rsidP="007D7277">
      <w:pPr>
        <w:pStyle w:val="3GPPHeader"/>
        <w:rPr>
          <w:rFonts w:cs="Arial"/>
          <w:sz w:val="22"/>
          <w:szCs w:val="22"/>
        </w:rPr>
      </w:pPr>
      <w:r w:rsidRPr="00AD09E5">
        <w:rPr>
          <w:rFonts w:cs="Arial"/>
          <w:sz w:val="22"/>
          <w:szCs w:val="22"/>
        </w:rPr>
        <w:t>Source:</w:t>
      </w:r>
      <w:r w:rsidRPr="000C212F">
        <w:rPr>
          <w:rFonts w:cs="Arial"/>
          <w:sz w:val="22"/>
          <w:szCs w:val="22"/>
        </w:rPr>
        <w:tab/>
        <w:t>Ericsson</w:t>
      </w:r>
    </w:p>
    <w:p w14:paraId="1550E868" w14:textId="77777777" w:rsidR="007D7277" w:rsidRPr="00191F27" w:rsidRDefault="007D7277" w:rsidP="007D7277">
      <w:pPr>
        <w:pStyle w:val="3GPPHeader"/>
        <w:rPr>
          <w:rFonts w:cs="Arial"/>
          <w:sz w:val="22"/>
          <w:szCs w:val="22"/>
        </w:rPr>
      </w:pPr>
      <w:r w:rsidRPr="000C212F">
        <w:rPr>
          <w:rFonts w:cs="Arial"/>
          <w:sz w:val="22"/>
          <w:szCs w:val="22"/>
        </w:rPr>
        <w:t>Title:</w:t>
      </w:r>
      <w:r w:rsidRPr="000C212F">
        <w:rPr>
          <w:rFonts w:cs="Arial"/>
          <w:sz w:val="22"/>
          <w:szCs w:val="22"/>
        </w:rPr>
        <w:tab/>
        <w:t xml:space="preserve">On Interface Selection </w:t>
      </w:r>
    </w:p>
    <w:p w14:paraId="5BF0ACC1" w14:textId="77777777" w:rsidR="007D7277" w:rsidRPr="000C212F" w:rsidRDefault="007D7277" w:rsidP="007D7277">
      <w:pPr>
        <w:pStyle w:val="3GPPHeader"/>
        <w:rPr>
          <w:rFonts w:cs="Arial"/>
          <w:sz w:val="22"/>
          <w:szCs w:val="22"/>
        </w:rPr>
      </w:pPr>
      <w:r w:rsidRPr="00AD09E5">
        <w:rPr>
          <w:rFonts w:cs="Arial"/>
          <w:sz w:val="22"/>
          <w:szCs w:val="22"/>
        </w:rPr>
        <w:t>Document for:</w:t>
      </w:r>
      <w:r w:rsidRPr="00AD09E5">
        <w:rPr>
          <w:rFonts w:cs="Arial"/>
          <w:sz w:val="22"/>
          <w:szCs w:val="22"/>
        </w:rPr>
        <w:tab/>
        <w:t>Discussion, Decision</w:t>
      </w:r>
    </w:p>
    <w:p w14:paraId="62242191" w14:textId="77777777" w:rsidR="007D7277" w:rsidRPr="00191F27" w:rsidRDefault="007D7277" w:rsidP="007D7277">
      <w:pPr>
        <w:pStyle w:val="Heading1"/>
        <w:rPr>
          <w:rFonts w:cs="Arial"/>
        </w:rPr>
      </w:pPr>
      <w:r w:rsidRPr="00191F27">
        <w:rPr>
          <w:rFonts w:cs="Arial"/>
        </w:rPr>
        <w:t>1</w:t>
      </w:r>
      <w:r w:rsidRPr="00191F27">
        <w:rPr>
          <w:rFonts w:cs="Arial"/>
        </w:rPr>
        <w:tab/>
        <w:t>Introduction</w:t>
      </w:r>
    </w:p>
    <w:p w14:paraId="1F289C4F" w14:textId="77777777" w:rsidR="007D7277" w:rsidRPr="00B85F37" w:rsidRDefault="007D7277" w:rsidP="007D7277">
      <w:pPr>
        <w:pStyle w:val="BodyText"/>
        <w:rPr>
          <w:rFonts w:cs="Arial"/>
        </w:rPr>
      </w:pPr>
      <w:r w:rsidRPr="00B85F37">
        <w:rPr>
          <w:rFonts w:cs="Arial"/>
        </w:rPr>
        <w:t xml:space="preserve">In RAN#80, a new study item on NR V2X is approved [1]. Among others, one objective of the study item is to study interface/RAT selection for advanced V2X use cases, which is given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7277" w:rsidRPr="00FD1338" w14:paraId="1E605074" w14:textId="77777777" w:rsidTr="000C212F">
        <w:tc>
          <w:tcPr>
            <w:tcW w:w="9629" w:type="dxa"/>
            <w:shd w:val="clear" w:color="auto" w:fill="auto"/>
          </w:tcPr>
          <w:p w14:paraId="74013400" w14:textId="77777777" w:rsidR="007D7277" w:rsidRPr="00B85F37" w:rsidRDefault="007D7277" w:rsidP="000C212F">
            <w:pPr>
              <w:rPr>
                <w:rFonts w:ascii="Arial" w:hAnsi="Arial" w:cs="Arial"/>
                <w:lang w:val="en-US"/>
              </w:rPr>
            </w:pPr>
            <w:r w:rsidRPr="00B85F37">
              <w:rPr>
                <w:rFonts w:ascii="Arial" w:hAnsi="Arial" w:cs="Arial"/>
                <w:b/>
                <w:bCs/>
                <w:lang w:val="en-US"/>
              </w:rPr>
              <w:t xml:space="preserve">RAT/Interface selection for operation </w:t>
            </w:r>
            <w:r w:rsidRPr="00B85F37">
              <w:rPr>
                <w:rFonts w:ascii="Arial" w:hAnsi="Arial" w:cs="Arial"/>
                <w:b/>
                <w:lang w:val="en-US"/>
              </w:rPr>
              <w:t>[RAN2, RAN3]</w:t>
            </w:r>
            <w:r w:rsidRPr="00B85F37">
              <w:rPr>
                <w:rFonts w:ascii="Arial" w:hAnsi="Arial" w:cs="Arial"/>
                <w:b/>
                <w:bCs/>
                <w:lang w:val="en-US"/>
              </w:rPr>
              <w:t>:</w:t>
            </w:r>
          </w:p>
          <w:p w14:paraId="6D34D1C4" w14:textId="77777777" w:rsidR="007D7277" w:rsidRPr="00B85F37" w:rsidRDefault="007D7277" w:rsidP="000C212F">
            <w:pPr>
              <w:ind w:left="45"/>
              <w:rPr>
                <w:rFonts w:ascii="Arial" w:hAnsi="Arial" w:cs="Arial"/>
                <w:lang w:val="en-US"/>
              </w:rPr>
            </w:pPr>
            <w:r w:rsidRPr="00B85F37">
              <w:rPr>
                <w:rFonts w:ascii="Arial" w:hAnsi="Arial" w:cs="Arial"/>
                <w:lang w:val="en-US"/>
              </w:rPr>
              <w:t>In coordination with SA2, study if additional mechanisms are required for decision on whether LTE PC5, NR PC5, LTE Uu or NR Uu shall be used for operation.</w:t>
            </w:r>
          </w:p>
        </w:tc>
      </w:tr>
    </w:tbl>
    <w:p w14:paraId="6FFB3C8B" w14:textId="77777777" w:rsidR="007D7277" w:rsidRPr="00B85F37" w:rsidRDefault="007D7277" w:rsidP="007D7277">
      <w:pPr>
        <w:pStyle w:val="BodyText"/>
        <w:rPr>
          <w:rFonts w:cs="Arial"/>
        </w:rPr>
      </w:pPr>
    </w:p>
    <w:p w14:paraId="144E8880" w14:textId="474E93CB" w:rsidR="007D7277" w:rsidRPr="00B85F37" w:rsidRDefault="007D7277" w:rsidP="007D7277">
      <w:pPr>
        <w:pStyle w:val="BodyText"/>
        <w:rPr>
          <w:rFonts w:cs="Arial"/>
        </w:rPr>
      </w:pPr>
      <w:r w:rsidRPr="00B85F37">
        <w:rPr>
          <w:rFonts w:cs="Arial"/>
        </w:rPr>
        <w:t>Although it is a topic driven by RAN2/RAN3, the issues having impact on RAN1 are discussed in this paper.</w:t>
      </w:r>
    </w:p>
    <w:p w14:paraId="23D74E79" w14:textId="2C88A88A" w:rsidR="007D7277" w:rsidRPr="00B85F37" w:rsidRDefault="007D7277" w:rsidP="007D7277">
      <w:pPr>
        <w:pStyle w:val="Heading1"/>
        <w:rPr>
          <w:rFonts w:cs="Arial"/>
        </w:rPr>
      </w:pPr>
      <w:r w:rsidRPr="000C212F">
        <w:rPr>
          <w:rFonts w:cs="Arial"/>
        </w:rPr>
        <w:t>2</w:t>
      </w:r>
      <w:r w:rsidRPr="000C212F">
        <w:rPr>
          <w:rFonts w:cs="Arial"/>
        </w:rPr>
        <w:tab/>
      </w:r>
      <w:r w:rsidR="00041939">
        <w:rPr>
          <w:rFonts w:cs="Arial"/>
        </w:rPr>
        <w:t>Discussion</w:t>
      </w:r>
    </w:p>
    <w:p w14:paraId="29CDA5C2" w14:textId="172A6527" w:rsidR="007D7277" w:rsidRDefault="007D7277" w:rsidP="007D7277">
      <w:pPr>
        <w:pStyle w:val="BodyText"/>
        <w:rPr>
          <w:rFonts w:cs="Arial"/>
        </w:rPr>
      </w:pPr>
      <w:r>
        <w:rPr>
          <w:rFonts w:cs="Arial"/>
        </w:rPr>
        <w:t xml:space="preserve">As </w:t>
      </w:r>
      <w:r w:rsidR="00FD1338">
        <w:rPr>
          <w:rFonts w:cs="Arial"/>
        </w:rPr>
        <w:t>captured in the objective of the SID</w:t>
      </w:r>
      <w:r>
        <w:rPr>
          <w:rFonts w:cs="Arial"/>
        </w:rPr>
        <w:t xml:space="preserve">, interface and RAT selection is expected to capture all options, namely LTE Uu, NR Uu, LTE PC5 and NR PC5. However, </w:t>
      </w:r>
      <w:proofErr w:type="gramStart"/>
      <w:r>
        <w:rPr>
          <w:rFonts w:cs="Arial"/>
        </w:rPr>
        <w:t>considering the fact that</w:t>
      </w:r>
      <w:proofErr w:type="gramEnd"/>
      <w:r>
        <w:rPr>
          <w:rFonts w:cs="Arial"/>
        </w:rPr>
        <w:t xml:space="preserve"> </w:t>
      </w:r>
      <w:r w:rsidR="0034087D" w:rsidRPr="00AC67F9">
        <w:rPr>
          <w:rFonts w:cs="Arial"/>
        </w:rPr>
        <w:t xml:space="preserve">the </w:t>
      </w:r>
      <w:r w:rsidRPr="00AC67F9">
        <w:rPr>
          <w:rFonts w:cs="Arial"/>
        </w:rPr>
        <w:t xml:space="preserve">NR Uu </w:t>
      </w:r>
      <w:r w:rsidR="0034087D" w:rsidRPr="00AC67F9">
        <w:rPr>
          <w:rFonts w:cs="Arial"/>
        </w:rPr>
        <w:t xml:space="preserve">interface </w:t>
      </w:r>
      <w:r w:rsidRPr="00AC67F9">
        <w:rPr>
          <w:rFonts w:cs="Arial"/>
        </w:rPr>
        <w:t xml:space="preserve">currently does not support multicast/broadcast </w:t>
      </w:r>
      <w:r>
        <w:rPr>
          <w:rFonts w:cs="Arial"/>
        </w:rPr>
        <w:t xml:space="preserve">and LTE PC5 only supports broadcast V2X services, it may be </w:t>
      </w:r>
      <w:r w:rsidR="00831ECC">
        <w:rPr>
          <w:rFonts w:cs="Arial"/>
        </w:rPr>
        <w:t xml:space="preserve">necessary </w:t>
      </w:r>
      <w:r>
        <w:rPr>
          <w:rFonts w:cs="Arial"/>
        </w:rPr>
        <w:t xml:space="preserve">to take interface selection for unicast V2X services as a base scenario </w:t>
      </w:r>
      <w:r w:rsidR="00831ECC">
        <w:rPr>
          <w:rFonts w:cs="Arial"/>
        </w:rPr>
        <w:t>and consider it for</w:t>
      </w:r>
      <w:r>
        <w:rPr>
          <w:rFonts w:cs="Arial"/>
        </w:rPr>
        <w:t xml:space="preserve"> further stud</w:t>
      </w:r>
      <w:r w:rsidR="00464521">
        <w:rPr>
          <w:rFonts w:cs="Arial"/>
        </w:rPr>
        <w:t>ies</w:t>
      </w:r>
      <w:r>
        <w:rPr>
          <w:rFonts w:cs="Arial"/>
        </w:rPr>
        <w:t xml:space="preserve">. </w:t>
      </w:r>
    </w:p>
    <w:p w14:paraId="36F0607C" w14:textId="219FC6B4" w:rsidR="007D7277" w:rsidRPr="007D7277" w:rsidRDefault="0088491A" w:rsidP="007D7277">
      <w:pPr>
        <w:pStyle w:val="Proposal"/>
        <w:rPr>
          <w:rFonts w:cs="Arial"/>
          <w:lang w:val="en-US"/>
        </w:rPr>
      </w:pPr>
      <w:bookmarkStart w:id="0" w:name="_Toc534967709"/>
      <w:bookmarkStart w:id="1" w:name="_Toc534839078"/>
      <w:bookmarkStart w:id="2" w:name="_Toc534887967"/>
      <w:bookmarkStart w:id="3" w:name="_Toc1132785"/>
      <w:r>
        <w:rPr>
          <w:rFonts w:cs="Arial"/>
        </w:rPr>
        <w:t>RAN1/RAN2 takes</w:t>
      </w:r>
      <w:r w:rsidR="00AC67F9">
        <w:rPr>
          <w:rFonts w:cs="Arial"/>
        </w:rPr>
        <w:t xml:space="preserve"> unicast V2X services as a baseline</w:t>
      </w:r>
      <w:r>
        <w:rPr>
          <w:rFonts w:cs="Arial"/>
        </w:rPr>
        <w:t xml:space="preserve"> scenario</w:t>
      </w:r>
      <w:r w:rsidR="00AC67F9">
        <w:rPr>
          <w:rFonts w:cs="Arial"/>
        </w:rPr>
        <w:t xml:space="preserve"> when study</w:t>
      </w:r>
      <w:r w:rsidR="004C48E8">
        <w:rPr>
          <w:rFonts w:cs="Arial"/>
        </w:rPr>
        <w:t>ing</w:t>
      </w:r>
      <w:r w:rsidR="00AC67F9">
        <w:rPr>
          <w:rFonts w:cs="Arial"/>
        </w:rPr>
        <w:t xml:space="preserve"> interface selection </w:t>
      </w:r>
      <w:r>
        <w:rPr>
          <w:rFonts w:cs="Arial"/>
        </w:rPr>
        <w:t>schemes.</w:t>
      </w:r>
      <w:bookmarkEnd w:id="0"/>
      <w:bookmarkEnd w:id="1"/>
      <w:bookmarkEnd w:id="2"/>
      <w:bookmarkEnd w:id="3"/>
    </w:p>
    <w:p w14:paraId="75A3ED2E" w14:textId="138A3DAF" w:rsidR="00FA42A8" w:rsidRPr="00191F27" w:rsidRDefault="00FA42A8" w:rsidP="00FA42A8">
      <w:pPr>
        <w:rPr>
          <w:rFonts w:cs="Arial"/>
        </w:rPr>
      </w:pPr>
      <w:r>
        <w:rPr>
          <w:rFonts w:ascii="Arial" w:hAnsi="Arial" w:cs="Arial"/>
        </w:rPr>
        <w:t>Furthermore, i</w:t>
      </w:r>
      <w:r w:rsidRPr="000C212F">
        <w:rPr>
          <w:rFonts w:ascii="Arial" w:hAnsi="Arial" w:cs="Arial"/>
        </w:rPr>
        <w:t>n RAN2 #104 meeting, the following agreement regarding interface selection was made</w:t>
      </w:r>
      <w:r>
        <w:rPr>
          <w:rFonts w:ascii="Arial" w:hAnsi="Arial" w:cs="Arial"/>
        </w:rPr>
        <w:t>:</w:t>
      </w:r>
    </w:p>
    <w:tbl>
      <w:tblPr>
        <w:tblStyle w:val="TableGrid"/>
        <w:tblW w:w="0" w:type="auto"/>
        <w:tblLook w:val="04A0" w:firstRow="1" w:lastRow="0" w:firstColumn="1" w:lastColumn="0" w:noHBand="0" w:noVBand="1"/>
      </w:tblPr>
      <w:tblGrid>
        <w:gridCol w:w="9629"/>
      </w:tblGrid>
      <w:tr w:rsidR="00FA42A8" w:rsidRPr="00232F3A" w14:paraId="0CCD86D8" w14:textId="77777777" w:rsidTr="0099041D">
        <w:tc>
          <w:tcPr>
            <w:tcW w:w="9629" w:type="dxa"/>
          </w:tcPr>
          <w:p w14:paraId="2CCEF61F" w14:textId="77777777" w:rsidR="00FA42A8" w:rsidRPr="000C212F" w:rsidRDefault="00FA42A8" w:rsidP="0099041D">
            <w:pPr>
              <w:rPr>
                <w:rFonts w:ascii="Arial" w:eastAsia="Times New Roman" w:hAnsi="Arial" w:cs="Arial"/>
                <w:sz w:val="20"/>
                <w:szCs w:val="20"/>
                <w:lang w:val="en-GB"/>
              </w:rPr>
            </w:pPr>
            <w:r w:rsidRPr="00B85F37">
              <w:rPr>
                <w:rFonts w:ascii="Arial" w:eastAsia="Times New Roman" w:hAnsi="Arial" w:cs="Arial"/>
                <w:highlight w:val="green"/>
              </w:rPr>
              <w:t>Agreements:</w:t>
            </w:r>
          </w:p>
          <w:p w14:paraId="1AC4D935" w14:textId="77777777" w:rsidR="00FA42A8" w:rsidRPr="000C212F" w:rsidRDefault="00FA42A8" w:rsidP="0099041D">
            <w:pPr>
              <w:pStyle w:val="ListParagraph"/>
              <w:numPr>
                <w:ilvl w:val="0"/>
                <w:numId w:val="40"/>
              </w:numPr>
              <w:rPr>
                <w:rFonts w:ascii="Arial" w:eastAsia="Times New Roman" w:hAnsi="Arial" w:cs="Arial"/>
                <w:sz w:val="20"/>
                <w:szCs w:val="20"/>
                <w:lang w:val="en-GB"/>
              </w:rPr>
            </w:pPr>
            <w:r w:rsidRPr="000C212F">
              <w:rPr>
                <w:rFonts w:ascii="Arial" w:eastAsia="Times New Roman" w:hAnsi="Arial" w:cs="Arial"/>
                <w:sz w:val="20"/>
                <w:szCs w:val="20"/>
                <w:lang w:val="en-GB" w:eastAsia="ja-JP"/>
              </w:rPr>
              <w:t>The availability of Uu/PC5 will be informed to upper layer and the upper layer performs the Uu/PC5 interface selection. FFS on what availability implies, how AS to decide availability of Uu/PC5 and whether we need to specify it.</w:t>
            </w:r>
          </w:p>
        </w:tc>
      </w:tr>
    </w:tbl>
    <w:p w14:paraId="43BAD5F9" w14:textId="77777777" w:rsidR="00FA42A8" w:rsidRDefault="00FA42A8" w:rsidP="00FA42A8">
      <w:pPr>
        <w:rPr>
          <w:rFonts w:ascii="Arial" w:hAnsi="Arial" w:cs="Arial"/>
        </w:rPr>
      </w:pPr>
    </w:p>
    <w:p w14:paraId="779687BC" w14:textId="6ED09899" w:rsidR="00FA42A8" w:rsidRPr="002724D5" w:rsidRDefault="00FA42A8" w:rsidP="00B85F37">
      <w:pPr>
        <w:jc w:val="both"/>
        <w:rPr>
          <w:rFonts w:cs="Arial"/>
        </w:rPr>
      </w:pPr>
      <w:r w:rsidRPr="000C212F">
        <w:rPr>
          <w:rFonts w:ascii="Arial" w:hAnsi="Arial" w:cs="Arial"/>
        </w:rPr>
        <w:t xml:space="preserve">According to the agreement, </w:t>
      </w:r>
      <w:r>
        <w:rPr>
          <w:rFonts w:ascii="Arial" w:hAnsi="Arial" w:cs="Arial"/>
        </w:rPr>
        <w:t xml:space="preserve">the </w:t>
      </w:r>
      <w:r w:rsidRPr="000C212F">
        <w:rPr>
          <w:rFonts w:ascii="Arial" w:hAnsi="Arial" w:cs="Arial"/>
        </w:rPr>
        <w:t>access stratum (AS) determine</w:t>
      </w:r>
      <w:r>
        <w:rPr>
          <w:rFonts w:ascii="Arial" w:hAnsi="Arial" w:cs="Arial"/>
        </w:rPr>
        <w:t>s</w:t>
      </w:r>
      <w:r w:rsidRPr="000C212F">
        <w:rPr>
          <w:rFonts w:ascii="Arial" w:hAnsi="Arial" w:cs="Arial"/>
        </w:rPr>
        <w:t xml:space="preserve"> the availability of each interface and informs </w:t>
      </w:r>
      <w:r>
        <w:rPr>
          <w:rFonts w:ascii="Arial" w:hAnsi="Arial" w:cs="Arial"/>
        </w:rPr>
        <w:t xml:space="preserve">the </w:t>
      </w:r>
      <w:r w:rsidRPr="000C212F">
        <w:rPr>
          <w:rFonts w:ascii="Arial" w:hAnsi="Arial" w:cs="Arial"/>
        </w:rPr>
        <w:t xml:space="preserve">upper layer at </w:t>
      </w:r>
      <w:r>
        <w:rPr>
          <w:rFonts w:ascii="Arial" w:hAnsi="Arial" w:cs="Arial"/>
        </w:rPr>
        <w:t xml:space="preserve">the </w:t>
      </w:r>
      <w:r w:rsidRPr="000C212F">
        <w:rPr>
          <w:rFonts w:ascii="Arial" w:hAnsi="Arial" w:cs="Arial"/>
        </w:rPr>
        <w:t xml:space="preserve">UE and/or </w:t>
      </w:r>
      <w:r>
        <w:rPr>
          <w:rFonts w:ascii="Arial" w:hAnsi="Arial" w:cs="Arial"/>
        </w:rPr>
        <w:t xml:space="preserve">the </w:t>
      </w:r>
      <w:r w:rsidRPr="000C212F">
        <w:rPr>
          <w:rFonts w:ascii="Arial" w:hAnsi="Arial" w:cs="Arial"/>
        </w:rPr>
        <w:t xml:space="preserve">application server. </w:t>
      </w:r>
      <w:r>
        <w:rPr>
          <w:rFonts w:ascii="Arial" w:hAnsi="Arial" w:cs="Arial"/>
        </w:rPr>
        <w:t>Subsequently,</w:t>
      </w:r>
      <w:r w:rsidRPr="000C212F">
        <w:rPr>
          <w:rFonts w:ascii="Arial" w:hAnsi="Arial" w:cs="Arial"/>
        </w:rPr>
        <w:t xml:space="preserve"> </w:t>
      </w:r>
      <w:r>
        <w:rPr>
          <w:rFonts w:ascii="Arial" w:hAnsi="Arial" w:cs="Arial"/>
        </w:rPr>
        <w:t>the upper layer makes use of assisting information from the AS, such as measurements or resource situation, and selects one of the available interfaces,</w:t>
      </w:r>
      <w:r w:rsidRPr="000C212F">
        <w:rPr>
          <w:rFonts w:ascii="Arial" w:hAnsi="Arial" w:cs="Arial"/>
        </w:rPr>
        <w:t xml:space="preserve"> i.e. Uu or PC5</w:t>
      </w:r>
      <w:r>
        <w:rPr>
          <w:rFonts w:ascii="Arial" w:hAnsi="Arial" w:cs="Arial"/>
        </w:rPr>
        <w:t xml:space="preserve">. </w:t>
      </w:r>
    </w:p>
    <w:p w14:paraId="1F4064B3" w14:textId="306B2660" w:rsidR="00FA42A8" w:rsidRPr="000C212F" w:rsidRDefault="00FA42A8" w:rsidP="00FA42A8">
      <w:pPr>
        <w:pStyle w:val="BodyText"/>
        <w:rPr>
          <w:rFonts w:cs="Arial"/>
        </w:rPr>
      </w:pPr>
      <w:r w:rsidRPr="000C212F">
        <w:rPr>
          <w:rFonts w:cs="Arial"/>
        </w:rPr>
        <w:t>When the UEs of a Tx-Rx pair are in the proximity of each other, communications over the sidelink (PC5 interface) have several advantages, including the advantage that sidelink communications may work even when, for example, the Tx and/or Rx UE is</w:t>
      </w:r>
      <w:r>
        <w:rPr>
          <w:rFonts w:cs="Arial"/>
        </w:rPr>
        <w:t>/are</w:t>
      </w:r>
      <w:r w:rsidRPr="00191F27">
        <w:rPr>
          <w:rFonts w:cs="Arial"/>
        </w:rPr>
        <w:t xml:space="preserve"> not under cellular coverage. When the Tx-Rx pair is fully under cellular coverage, </w:t>
      </w:r>
      <w:r w:rsidRPr="00AD09E5">
        <w:rPr>
          <w:rFonts w:cs="Arial"/>
        </w:rPr>
        <w:t xml:space="preserve">unicast communication over PC5 rather than over two Uu interfaces (Tx-gNB and gNB-Rx) has the advantage of using </w:t>
      </w:r>
      <w:r>
        <w:rPr>
          <w:rFonts w:cs="Arial"/>
        </w:rPr>
        <w:t>a lower</w:t>
      </w:r>
      <w:r w:rsidRPr="00AD09E5">
        <w:rPr>
          <w:rFonts w:cs="Arial"/>
        </w:rPr>
        <w:t xml:space="preserve"> number of resources that are needed for bidirectional communications and using a single hop rather than </w:t>
      </w:r>
      <w:r>
        <w:rPr>
          <w:rFonts w:cs="Arial"/>
        </w:rPr>
        <w:t>two</w:t>
      </w:r>
      <w:r w:rsidRPr="00AD09E5">
        <w:rPr>
          <w:rFonts w:cs="Arial"/>
        </w:rPr>
        <w:t xml:space="preserve"> hops from </w:t>
      </w:r>
      <w:r w:rsidRPr="000C212F">
        <w:rPr>
          <w:rFonts w:cs="Arial"/>
        </w:rPr>
        <w:t xml:space="preserve">the Tx UE to the Rx UE. On the other hand, the traditional way of bidirectional communication between the Tx UE and Rx UE is to communicate through the cellular base station or the gNB in New Radio. In fact, when the distance and the corresponding path loss between the Tx </w:t>
      </w:r>
      <w:r w:rsidRPr="000C212F">
        <w:rPr>
          <w:rFonts w:cs="Arial"/>
        </w:rPr>
        <w:lastRenderedPageBreak/>
        <w:t>and Rx UEs are large, cellular communications may be advantageous, especially when the UEs are closer to their respective serving gNBs than to each other.</w:t>
      </w:r>
    </w:p>
    <w:p w14:paraId="0463E6DF" w14:textId="77777777" w:rsidR="00FA42A8" w:rsidRPr="000C212F" w:rsidRDefault="00FA42A8" w:rsidP="00FA42A8">
      <w:pPr>
        <w:pStyle w:val="Observation"/>
        <w:rPr>
          <w:rFonts w:cs="Arial"/>
        </w:rPr>
      </w:pPr>
      <w:bookmarkStart w:id="4" w:name="_Toc534967706"/>
      <w:bookmarkStart w:id="5" w:name="_Toc1132782"/>
      <w:r w:rsidRPr="000C212F">
        <w:rPr>
          <w:rFonts w:cs="Arial"/>
        </w:rPr>
        <w:t xml:space="preserve">When two UEs are separated by a large distance and corresponding </w:t>
      </w:r>
      <w:r>
        <w:rPr>
          <w:rFonts w:cs="Arial"/>
        </w:rPr>
        <w:t xml:space="preserve">high </w:t>
      </w:r>
      <w:r w:rsidRPr="000C212F">
        <w:rPr>
          <w:rFonts w:cs="Arial"/>
        </w:rPr>
        <w:t>large</w:t>
      </w:r>
      <w:r>
        <w:rPr>
          <w:rFonts w:cs="Arial"/>
        </w:rPr>
        <w:t>-</w:t>
      </w:r>
      <w:r w:rsidRPr="000C212F">
        <w:rPr>
          <w:rFonts w:cs="Arial"/>
        </w:rPr>
        <w:t>scale fading or shadowing, cellular communications are advantageous compared with communicating over the PC5 interface.</w:t>
      </w:r>
      <w:bookmarkEnd w:id="4"/>
      <w:bookmarkEnd w:id="5"/>
    </w:p>
    <w:p w14:paraId="079CA333" w14:textId="77777777" w:rsidR="00FA42A8" w:rsidRPr="000C212F" w:rsidRDefault="00FA42A8" w:rsidP="00FA42A8">
      <w:pPr>
        <w:pStyle w:val="BodyText"/>
        <w:rPr>
          <w:rFonts w:cs="Arial"/>
        </w:rPr>
      </w:pPr>
      <w:r w:rsidRPr="000C212F">
        <w:rPr>
          <w:rFonts w:cs="Arial"/>
        </w:rPr>
        <w:t>Observation 1 implies that the geometry of the system in terms of distance and large</w:t>
      </w:r>
      <w:r>
        <w:rPr>
          <w:rFonts w:cs="Arial"/>
        </w:rPr>
        <w:t>-</w:t>
      </w:r>
      <w:r w:rsidRPr="000C212F">
        <w:rPr>
          <w:rFonts w:cs="Arial"/>
        </w:rPr>
        <w:t xml:space="preserve">scale fading between the Tx UE, Rx UE and gNB are important factors in determining whether unicasting sidelink communication or communication over Uu is more advantageous. </w:t>
      </w:r>
    </w:p>
    <w:p w14:paraId="1F2D991F" w14:textId="77777777" w:rsidR="00FA42A8" w:rsidRPr="000C212F" w:rsidRDefault="00FA42A8" w:rsidP="00FA42A8">
      <w:pPr>
        <w:pStyle w:val="BodyText"/>
        <w:rPr>
          <w:rFonts w:cs="Arial"/>
        </w:rPr>
      </w:pPr>
      <w:r w:rsidRPr="000C212F">
        <w:rPr>
          <w:rFonts w:cs="Arial"/>
        </w:rPr>
        <w:t>From the Tx-Rx pair’s perspective, an important difference between communicating over the PC5 interface (single hop) and communicating through the gNB (if both the Tx and Rx UEs are connected to the same gNB) or the respective serving gNBs (if the Tx and Rx UEs are served by different gNBs) is the transmit and receive power levels. When communicating through the Uu interface, the Tx UE uses cellular uplink control mechanisms to reach its serving BS, which is typically equipped with multiple receive antennas. In contrast, when communicating through PC5, the Tx UE must use sidelink power control mechanisms to reach its Rx peer, which is likely to use much lower number of receive antennas. The achievable range and throughput over the PC5 interface as compared with the same performance indicators for the Uu interface are much dependent on the power control, and -- in the case when the Tx UE is equipped with multiple transmit antennas -- on the precoding scheme used by the Tx UE. For this reason, the sidelink range and throughput that can be achieved depend on using licensed or unlicensed spectrum for the sidelink.</w:t>
      </w:r>
    </w:p>
    <w:p w14:paraId="3357F994" w14:textId="77777777" w:rsidR="00FA42A8" w:rsidRPr="000C212F" w:rsidRDefault="00FA42A8" w:rsidP="00FA42A8">
      <w:pPr>
        <w:pStyle w:val="Observation"/>
        <w:rPr>
          <w:rFonts w:cs="Arial"/>
        </w:rPr>
      </w:pPr>
      <w:bookmarkStart w:id="6" w:name="_Toc534967707"/>
      <w:bookmarkStart w:id="7" w:name="_Toc1132783"/>
      <w:r w:rsidRPr="000C212F">
        <w:rPr>
          <w:rFonts w:cs="Arial"/>
        </w:rPr>
        <w:t>The achievable range and throughput over the sidelink and the Uu interface for a given Tx-Rx pair, are affected by the employed power control and multi-antenna transmission schemes.</w:t>
      </w:r>
      <w:bookmarkEnd w:id="6"/>
      <w:bookmarkEnd w:id="7"/>
    </w:p>
    <w:p w14:paraId="510E68E6" w14:textId="77777777" w:rsidR="00FA42A8" w:rsidRPr="000C212F" w:rsidRDefault="00FA42A8" w:rsidP="00FA42A8">
      <w:pPr>
        <w:pStyle w:val="BodyText"/>
        <w:rPr>
          <w:rFonts w:cs="Arial"/>
        </w:rPr>
      </w:pPr>
      <w:r w:rsidRPr="000C212F">
        <w:rPr>
          <w:rFonts w:cs="Arial"/>
        </w:rPr>
        <w:t xml:space="preserve">For cellular power control, fractional path loss compensation remains a viable approach, which can </w:t>
      </w:r>
      <w:proofErr w:type="gramStart"/>
      <w:r w:rsidRPr="000C212F">
        <w:rPr>
          <w:rFonts w:cs="Arial"/>
        </w:rPr>
        <w:t>take into account</w:t>
      </w:r>
      <w:proofErr w:type="gramEnd"/>
      <w:r w:rsidRPr="000C212F">
        <w:rPr>
          <w:rFonts w:cs="Arial"/>
        </w:rPr>
        <w:t xml:space="preserve"> changes in the geometry due to mobility at a time scale of ~100 ms. </w:t>
      </w:r>
      <w:proofErr w:type="gramStart"/>
      <w:r w:rsidRPr="000C212F">
        <w:rPr>
          <w:rFonts w:cs="Arial"/>
        </w:rPr>
        <w:t>It is clear that for</w:t>
      </w:r>
      <w:proofErr w:type="gramEnd"/>
      <w:r w:rsidRPr="000C212F">
        <w:rPr>
          <w:rFonts w:cs="Arial"/>
        </w:rPr>
        <w:t xml:space="preserve"> vehicular communication scenarios, changes in the system geometry due to mobility of the UEs will have a major impact on the current large-scale fading and shadowing between the Tx and Rx UEs as well as between the Tx and Rx UEs and their respective serving gNBs. Thus, mobility will affect the suitability of sidelink communication and the potential advantages of using the PC5 interface over traditional communication through the gNB. </w:t>
      </w:r>
    </w:p>
    <w:p w14:paraId="30DB19FF" w14:textId="77777777" w:rsidR="00FA42A8" w:rsidRPr="000C212F" w:rsidRDefault="00FA42A8" w:rsidP="00FA42A8">
      <w:pPr>
        <w:pStyle w:val="Observation"/>
        <w:rPr>
          <w:rFonts w:cs="Arial"/>
        </w:rPr>
      </w:pPr>
      <w:bookmarkStart w:id="8" w:name="_Toc534967708"/>
      <w:bookmarkStart w:id="9" w:name="_Toc1132784"/>
      <w:r w:rsidRPr="000C212F">
        <w:rPr>
          <w:rFonts w:cs="Arial"/>
        </w:rPr>
        <w:t>The key performance metrics achievable over the PC5 and Uu interfaces for a given Tx-Rx UE pair are affected by UE mobility.</w:t>
      </w:r>
      <w:bookmarkEnd w:id="8"/>
      <w:bookmarkEnd w:id="9"/>
    </w:p>
    <w:p w14:paraId="60810854" w14:textId="77777777" w:rsidR="00FA42A8" w:rsidRPr="000C212F" w:rsidRDefault="00FA42A8" w:rsidP="00FA42A8">
      <w:pPr>
        <w:pStyle w:val="BodyText"/>
        <w:rPr>
          <w:rFonts w:cs="Arial"/>
        </w:rPr>
      </w:pPr>
      <w:r w:rsidRPr="000C212F">
        <w:rPr>
          <w:rFonts w:cs="Arial"/>
        </w:rPr>
        <w:t xml:space="preserve">In fact, UE mobility other than the mobility affecting a Tx-Rx pair can have a large impact on the range and throughput of the sidelink (PC5) and cellular uplink and downlink (Uu). A moving truck, for example, may shadow either of the sidelink or the Uu link(s) for a given Tx-Rx pair. This type of changes in the link quality may take place at a fine (ms) or coarser time scale. </w:t>
      </w:r>
    </w:p>
    <w:p w14:paraId="51295D4D" w14:textId="77777777" w:rsidR="00FA42A8" w:rsidRPr="00191F27" w:rsidRDefault="00FA42A8" w:rsidP="00FA42A8">
      <w:pPr>
        <w:pStyle w:val="BodyText"/>
        <w:rPr>
          <w:rFonts w:cs="Arial"/>
        </w:rPr>
      </w:pPr>
      <w:r w:rsidRPr="000C212F">
        <w:rPr>
          <w:rFonts w:cs="Arial"/>
        </w:rPr>
        <w:t>These observations highlight that due to node capability, system geometry, and UE mobility, the decision whether the sidelink or the Uu interfaces are more advantageous for bidirectional communications between a Tx and Rx UE can vary in time.</w:t>
      </w:r>
    </w:p>
    <w:p w14:paraId="64E22703" w14:textId="619FEA2E" w:rsidR="00FA42A8" w:rsidRPr="00051FF6" w:rsidRDefault="00FA42A8" w:rsidP="00FA42A8">
      <w:pPr>
        <w:jc w:val="both"/>
        <w:rPr>
          <w:rFonts w:ascii="Arial" w:hAnsi="Arial" w:cs="Arial"/>
        </w:rPr>
      </w:pPr>
      <w:r>
        <w:rPr>
          <w:rFonts w:ascii="Arial" w:hAnsi="Arial" w:cs="Arial"/>
        </w:rPr>
        <w:t>In addition</w:t>
      </w:r>
      <w:r w:rsidRPr="00051FF6">
        <w:rPr>
          <w:rFonts w:ascii="Arial" w:hAnsi="Arial" w:cs="Arial"/>
        </w:rPr>
        <w:t xml:space="preserve">, </w:t>
      </w:r>
      <w:r>
        <w:rPr>
          <w:rFonts w:ascii="Arial" w:hAnsi="Arial" w:cs="Arial"/>
        </w:rPr>
        <w:t xml:space="preserve">at this point </w:t>
      </w:r>
      <w:r w:rsidRPr="00051FF6">
        <w:rPr>
          <w:rFonts w:ascii="Arial" w:hAnsi="Arial" w:cs="Arial"/>
        </w:rPr>
        <w:t xml:space="preserve">it is not clear if it is the </w:t>
      </w:r>
      <w:r>
        <w:rPr>
          <w:rFonts w:ascii="Arial" w:hAnsi="Arial" w:cs="Arial"/>
        </w:rPr>
        <w:t>AS</w:t>
      </w:r>
      <w:r w:rsidRPr="00051FF6">
        <w:rPr>
          <w:rFonts w:ascii="Arial" w:hAnsi="Arial" w:cs="Arial"/>
        </w:rPr>
        <w:t xml:space="preserve"> of </w:t>
      </w:r>
      <w:r>
        <w:rPr>
          <w:rFonts w:ascii="Arial" w:hAnsi="Arial" w:cs="Arial"/>
        </w:rPr>
        <w:t xml:space="preserve">the </w:t>
      </w:r>
      <w:r w:rsidRPr="00051FF6">
        <w:rPr>
          <w:rFonts w:ascii="Arial" w:hAnsi="Arial" w:cs="Arial"/>
        </w:rPr>
        <w:t xml:space="preserve">UE or gNB </w:t>
      </w:r>
      <w:r>
        <w:rPr>
          <w:rFonts w:ascii="Arial" w:hAnsi="Arial" w:cs="Arial"/>
        </w:rPr>
        <w:t>or both in combination that</w:t>
      </w:r>
      <w:r w:rsidRPr="00051FF6">
        <w:rPr>
          <w:rFonts w:ascii="Arial" w:hAnsi="Arial" w:cs="Arial"/>
        </w:rPr>
        <w:t xml:space="preserve"> determine</w:t>
      </w:r>
      <w:r>
        <w:rPr>
          <w:rFonts w:ascii="Arial" w:hAnsi="Arial" w:cs="Arial"/>
        </w:rPr>
        <w:t>s</w:t>
      </w:r>
      <w:r w:rsidRPr="00051FF6">
        <w:rPr>
          <w:rFonts w:ascii="Arial" w:hAnsi="Arial" w:cs="Arial"/>
        </w:rPr>
        <w:t xml:space="preserve"> the interface availability. </w:t>
      </w:r>
      <w:r>
        <w:rPr>
          <w:rFonts w:ascii="Arial" w:hAnsi="Arial" w:cs="Arial"/>
        </w:rPr>
        <w:t>In our view,</w:t>
      </w:r>
      <w:r w:rsidRPr="00051FF6">
        <w:rPr>
          <w:rFonts w:ascii="Arial" w:hAnsi="Arial" w:cs="Arial"/>
        </w:rPr>
        <w:t xml:space="preserve"> gNB</w:t>
      </w:r>
      <w:r>
        <w:rPr>
          <w:rFonts w:ascii="Arial" w:hAnsi="Arial" w:cs="Arial"/>
        </w:rPr>
        <w:t xml:space="preserve"> should</w:t>
      </w:r>
      <w:r w:rsidRPr="00051FF6">
        <w:rPr>
          <w:rFonts w:ascii="Arial" w:hAnsi="Arial" w:cs="Arial"/>
        </w:rPr>
        <w:t xml:space="preserve"> make the decision based on measurement report</w:t>
      </w:r>
      <w:r>
        <w:rPr>
          <w:rFonts w:ascii="Arial" w:hAnsi="Arial" w:cs="Arial"/>
        </w:rPr>
        <w:t>s</w:t>
      </w:r>
      <w:r w:rsidRPr="00051FF6">
        <w:rPr>
          <w:rFonts w:ascii="Arial" w:hAnsi="Arial" w:cs="Arial"/>
        </w:rPr>
        <w:t xml:space="preserve"> from UE. Thus, depend</w:t>
      </w:r>
      <w:r>
        <w:rPr>
          <w:rFonts w:ascii="Arial" w:hAnsi="Arial" w:cs="Arial"/>
        </w:rPr>
        <w:t>ing</w:t>
      </w:r>
      <w:r w:rsidRPr="00051FF6">
        <w:rPr>
          <w:rFonts w:ascii="Arial" w:hAnsi="Arial" w:cs="Arial"/>
        </w:rPr>
        <w:t xml:space="preserve"> on RAN2 discussion</w:t>
      </w:r>
      <w:r>
        <w:rPr>
          <w:rFonts w:ascii="Arial" w:hAnsi="Arial" w:cs="Arial"/>
        </w:rPr>
        <w:t>s</w:t>
      </w:r>
      <w:r w:rsidRPr="00051FF6">
        <w:rPr>
          <w:rFonts w:ascii="Arial" w:hAnsi="Arial" w:cs="Arial"/>
        </w:rPr>
        <w:t xml:space="preserve">, RAN1/RAN2 </w:t>
      </w:r>
      <w:r>
        <w:rPr>
          <w:rFonts w:ascii="Arial" w:hAnsi="Arial" w:cs="Arial"/>
        </w:rPr>
        <w:t xml:space="preserve">should </w:t>
      </w:r>
      <w:r w:rsidR="00260522">
        <w:rPr>
          <w:rFonts w:ascii="Arial" w:hAnsi="Arial" w:cs="Arial"/>
          <w:lang/>
        </w:rPr>
        <w:t>specify</w:t>
      </w:r>
      <w:r w:rsidRPr="00051FF6">
        <w:rPr>
          <w:rFonts w:ascii="Arial" w:hAnsi="Arial" w:cs="Arial"/>
        </w:rPr>
        <w:t xml:space="preserve"> potential measurement</w:t>
      </w:r>
      <w:r>
        <w:rPr>
          <w:rFonts w:ascii="Arial" w:hAnsi="Arial" w:cs="Arial"/>
        </w:rPr>
        <w:t>s</w:t>
      </w:r>
      <w:r w:rsidRPr="00051FF6">
        <w:rPr>
          <w:rFonts w:ascii="Arial" w:hAnsi="Arial" w:cs="Arial"/>
        </w:rPr>
        <w:t xml:space="preserve"> </w:t>
      </w:r>
      <w:r>
        <w:rPr>
          <w:rFonts w:ascii="Arial" w:hAnsi="Arial" w:cs="Arial"/>
        </w:rPr>
        <w:t xml:space="preserve">and associated </w:t>
      </w:r>
      <w:r w:rsidRPr="00051FF6">
        <w:rPr>
          <w:rFonts w:ascii="Arial" w:hAnsi="Arial" w:cs="Arial"/>
        </w:rPr>
        <w:t xml:space="preserve">reporting </w:t>
      </w:r>
      <w:r>
        <w:rPr>
          <w:rFonts w:ascii="Arial" w:hAnsi="Arial" w:cs="Arial"/>
        </w:rPr>
        <w:t xml:space="preserve">mechanisms </w:t>
      </w:r>
      <w:r w:rsidRPr="00051FF6">
        <w:rPr>
          <w:rFonts w:ascii="Arial" w:hAnsi="Arial" w:cs="Arial"/>
        </w:rPr>
        <w:t xml:space="preserve">from UE to </w:t>
      </w:r>
      <w:proofErr w:type="spellStart"/>
      <w:r w:rsidRPr="00051FF6">
        <w:rPr>
          <w:rFonts w:ascii="Arial" w:hAnsi="Arial" w:cs="Arial"/>
        </w:rPr>
        <w:t>gNB</w:t>
      </w:r>
      <w:proofErr w:type="spellEnd"/>
      <w:r w:rsidRPr="00051FF6">
        <w:rPr>
          <w:rFonts w:ascii="Arial" w:hAnsi="Arial" w:cs="Arial"/>
        </w:rPr>
        <w:t xml:space="preserve"> related to interface selection.</w:t>
      </w:r>
    </w:p>
    <w:p w14:paraId="52FF97B3" w14:textId="53E9F1D5" w:rsidR="00FA42A8" w:rsidRPr="00051FF6" w:rsidRDefault="00FA42A8" w:rsidP="00FA42A8">
      <w:pPr>
        <w:pStyle w:val="Proposal"/>
        <w:rPr>
          <w:rFonts w:cs="Arial"/>
          <w:lang w:val="en-US"/>
        </w:rPr>
      </w:pPr>
      <w:bookmarkStart w:id="10" w:name="_Toc534967711"/>
      <w:bookmarkStart w:id="11" w:name="_Toc1132786"/>
      <w:r>
        <w:t xml:space="preserve">Upon RAN2 discussions, RAN1/RAN2 </w:t>
      </w:r>
      <w:r w:rsidR="00260522">
        <w:rPr>
          <w:lang/>
        </w:rPr>
        <w:t>specify</w:t>
      </w:r>
      <w:r w:rsidR="00F971F7">
        <w:rPr>
          <w:lang/>
        </w:rPr>
        <w:t xml:space="preserve"> (during WI)</w:t>
      </w:r>
      <w:r>
        <w:t xml:space="preserve"> potential measurement reporting from UE to </w:t>
      </w:r>
      <w:proofErr w:type="spellStart"/>
      <w:r>
        <w:t>gNB</w:t>
      </w:r>
      <w:proofErr w:type="spellEnd"/>
      <w:r>
        <w:t xml:space="preserve"> related to interface selection</w:t>
      </w:r>
      <w:r w:rsidRPr="000C212F">
        <w:rPr>
          <w:rFonts w:cs="Arial"/>
          <w:lang w:val="en-US"/>
        </w:rPr>
        <w:t>.</w:t>
      </w:r>
      <w:bookmarkEnd w:id="10"/>
      <w:bookmarkEnd w:id="11"/>
    </w:p>
    <w:p w14:paraId="779D5AFB" w14:textId="7E77D85C" w:rsidR="007D7277" w:rsidRPr="00191F27" w:rsidRDefault="002278A9" w:rsidP="007D7277">
      <w:pPr>
        <w:pStyle w:val="Heading1"/>
        <w:rPr>
          <w:rFonts w:cs="Arial"/>
        </w:rPr>
      </w:pPr>
      <w:r>
        <w:rPr>
          <w:rFonts w:cs="Arial"/>
          <w:lang w:val="en-US"/>
        </w:rPr>
        <w:t>3</w:t>
      </w:r>
      <w:r w:rsidR="007D7277" w:rsidRPr="00191F27">
        <w:rPr>
          <w:rFonts w:cs="Arial"/>
        </w:rPr>
        <w:t xml:space="preserve"> </w:t>
      </w:r>
      <w:r w:rsidR="007D7277" w:rsidRPr="00191F27">
        <w:rPr>
          <w:rFonts w:cs="Arial"/>
        </w:rPr>
        <w:tab/>
        <w:t>Conclusion</w:t>
      </w:r>
    </w:p>
    <w:p w14:paraId="6AB83A41" w14:textId="711AEAAD" w:rsidR="007D7277" w:rsidRPr="00191F27" w:rsidRDefault="007D7277" w:rsidP="007D7277">
      <w:pPr>
        <w:pStyle w:val="BodyText"/>
        <w:rPr>
          <w:rFonts w:cs="Arial"/>
          <w:bCs/>
        </w:rPr>
      </w:pPr>
      <w:r w:rsidRPr="00191F27">
        <w:rPr>
          <w:rFonts w:cs="Arial"/>
          <w:bCs/>
        </w:rPr>
        <w:t>In this paper</w:t>
      </w:r>
      <w:r w:rsidR="00600903">
        <w:rPr>
          <w:rFonts w:cs="Arial"/>
          <w:bCs/>
          <w:lang/>
        </w:rPr>
        <w:t>,</w:t>
      </w:r>
      <w:r w:rsidRPr="00191F27">
        <w:rPr>
          <w:rFonts w:cs="Arial"/>
          <w:bCs/>
        </w:rPr>
        <w:t xml:space="preserve"> we have observed the following:</w:t>
      </w:r>
    </w:p>
    <w:p w14:paraId="00855D20" w14:textId="77777777" w:rsidR="00F971F7" w:rsidRDefault="007D7277">
      <w:pPr>
        <w:pStyle w:val="TOC1"/>
        <w:rPr>
          <w:rFonts w:asciiTheme="minorHAnsi" w:eastAsiaTheme="minorEastAsia" w:hAnsiTheme="minorHAnsi" w:cstheme="minorBidi"/>
          <w:b w:val="0"/>
          <w:sz w:val="22"/>
          <w:szCs w:val="22"/>
          <w:lang/>
        </w:rPr>
      </w:pPr>
      <w:r w:rsidRPr="00191F27">
        <w:rPr>
          <w:rFonts w:cs="Arial"/>
          <w:bCs/>
          <w:highlight w:val="yellow"/>
        </w:rPr>
        <w:lastRenderedPageBreak/>
        <w:fldChar w:fldCharType="begin"/>
      </w:r>
      <w:r w:rsidRPr="000C212F">
        <w:rPr>
          <w:rFonts w:cs="Arial"/>
          <w:bCs/>
          <w:highlight w:val="yellow"/>
        </w:rPr>
        <w:instrText xml:space="preserve"> TOC \n \t "Observation,1" </w:instrText>
      </w:r>
      <w:r w:rsidRPr="00191F27">
        <w:rPr>
          <w:rFonts w:cs="Arial"/>
          <w:bCs/>
          <w:highlight w:val="yellow"/>
        </w:rPr>
        <w:fldChar w:fldCharType="separate"/>
      </w:r>
      <w:r w:rsidR="00F971F7" w:rsidRPr="00806214">
        <w:rPr>
          <w:rFonts w:cs="Arial"/>
        </w:rPr>
        <w:t>Observation 1</w:t>
      </w:r>
      <w:r w:rsidR="00F971F7">
        <w:rPr>
          <w:rFonts w:asciiTheme="minorHAnsi" w:eastAsiaTheme="minorEastAsia" w:hAnsiTheme="minorHAnsi" w:cstheme="minorBidi"/>
          <w:b w:val="0"/>
          <w:sz w:val="22"/>
          <w:szCs w:val="22"/>
          <w:lang/>
        </w:rPr>
        <w:tab/>
      </w:r>
      <w:r w:rsidR="00F971F7" w:rsidRPr="00806214">
        <w:rPr>
          <w:rFonts w:cs="Arial"/>
        </w:rPr>
        <w:t>When two UEs are separated by a large distance and corresponding high large-scale fading or shadowing, cellular communications are advantageous compared with communicating over the PC5 interface.</w:t>
      </w:r>
    </w:p>
    <w:p w14:paraId="17524076" w14:textId="77777777" w:rsidR="00F971F7" w:rsidRDefault="00F971F7">
      <w:pPr>
        <w:pStyle w:val="TOC1"/>
        <w:rPr>
          <w:rFonts w:asciiTheme="minorHAnsi" w:eastAsiaTheme="minorEastAsia" w:hAnsiTheme="minorHAnsi" w:cstheme="minorBidi"/>
          <w:b w:val="0"/>
          <w:sz w:val="22"/>
          <w:szCs w:val="22"/>
          <w:lang/>
        </w:rPr>
      </w:pPr>
      <w:r w:rsidRPr="00806214">
        <w:rPr>
          <w:rFonts w:cs="Arial"/>
        </w:rPr>
        <w:t>Observation 2</w:t>
      </w:r>
      <w:r>
        <w:rPr>
          <w:rFonts w:asciiTheme="minorHAnsi" w:eastAsiaTheme="minorEastAsia" w:hAnsiTheme="minorHAnsi" w:cstheme="minorBidi"/>
          <w:b w:val="0"/>
          <w:sz w:val="22"/>
          <w:szCs w:val="22"/>
          <w:lang/>
        </w:rPr>
        <w:tab/>
      </w:r>
      <w:r w:rsidRPr="00806214">
        <w:rPr>
          <w:rFonts w:cs="Arial"/>
        </w:rPr>
        <w:t>The achievable range and throughput over the sidelink and the Uu interface for a given Tx-Rx pair, are affected by the employed power control and multi-antenna transmission schemes.</w:t>
      </w:r>
    </w:p>
    <w:p w14:paraId="497FAC4F" w14:textId="77777777" w:rsidR="00F971F7" w:rsidRDefault="00F971F7">
      <w:pPr>
        <w:pStyle w:val="TOC1"/>
        <w:rPr>
          <w:rFonts w:asciiTheme="minorHAnsi" w:eastAsiaTheme="minorEastAsia" w:hAnsiTheme="minorHAnsi" w:cstheme="minorBidi"/>
          <w:b w:val="0"/>
          <w:sz w:val="22"/>
          <w:szCs w:val="22"/>
          <w:lang/>
        </w:rPr>
      </w:pPr>
      <w:r w:rsidRPr="00806214">
        <w:rPr>
          <w:rFonts w:cs="Arial"/>
        </w:rPr>
        <w:t>Observation 3</w:t>
      </w:r>
      <w:r>
        <w:rPr>
          <w:rFonts w:asciiTheme="minorHAnsi" w:eastAsiaTheme="minorEastAsia" w:hAnsiTheme="minorHAnsi" w:cstheme="minorBidi"/>
          <w:b w:val="0"/>
          <w:sz w:val="22"/>
          <w:szCs w:val="22"/>
          <w:lang/>
        </w:rPr>
        <w:tab/>
      </w:r>
      <w:r w:rsidRPr="00806214">
        <w:rPr>
          <w:rFonts w:cs="Arial"/>
        </w:rPr>
        <w:t>The key performance metrics achievable over the PC5 and Uu interfaces for a given Tx-Rx UE pair are affected by UE mobility.</w:t>
      </w:r>
    </w:p>
    <w:p w14:paraId="04BD05AC" w14:textId="56186271" w:rsidR="007D7277" w:rsidRPr="00191F27" w:rsidRDefault="007D7277" w:rsidP="007D7277">
      <w:pPr>
        <w:pStyle w:val="BodyText"/>
        <w:spacing w:before="240"/>
        <w:rPr>
          <w:rFonts w:cs="Arial"/>
          <w:bCs/>
        </w:rPr>
      </w:pPr>
      <w:r w:rsidRPr="00191F27">
        <w:rPr>
          <w:rFonts w:cs="Arial"/>
          <w:bCs/>
          <w:highlight w:val="yellow"/>
        </w:rPr>
        <w:fldChar w:fldCharType="end"/>
      </w:r>
      <w:r w:rsidRPr="00191F27">
        <w:rPr>
          <w:rFonts w:cs="Arial"/>
          <w:bCs/>
        </w:rPr>
        <w:t>Based on these observations, we have proposed the following:</w:t>
      </w:r>
    </w:p>
    <w:p w14:paraId="294E1D4F" w14:textId="77777777" w:rsidR="00F971F7" w:rsidRDefault="007D7277">
      <w:pPr>
        <w:pStyle w:val="TOC1"/>
        <w:rPr>
          <w:rFonts w:asciiTheme="minorHAnsi" w:eastAsiaTheme="minorEastAsia" w:hAnsiTheme="minorHAnsi" w:cstheme="minorBidi"/>
          <w:b w:val="0"/>
          <w:sz w:val="22"/>
          <w:szCs w:val="22"/>
          <w:lang/>
        </w:rPr>
      </w:pPr>
      <w:r w:rsidRPr="00191F27">
        <w:rPr>
          <w:rFonts w:cs="Arial"/>
          <w:bCs/>
        </w:rPr>
        <w:fldChar w:fldCharType="begin"/>
      </w:r>
      <w:r w:rsidRPr="000C212F">
        <w:rPr>
          <w:rFonts w:cs="Arial"/>
          <w:bCs/>
        </w:rPr>
        <w:instrText xml:space="preserve"> TOC \n \t "Proposal,1" </w:instrText>
      </w:r>
      <w:r w:rsidRPr="00191F27">
        <w:rPr>
          <w:rFonts w:cs="Arial"/>
          <w:bCs/>
        </w:rPr>
        <w:fldChar w:fldCharType="separate"/>
      </w:r>
      <w:r w:rsidR="00F971F7" w:rsidRPr="00E715CE">
        <w:rPr>
          <w:rFonts w:cs="Arial"/>
          <w:lang w:val="en-US"/>
        </w:rPr>
        <w:t>Proposal 1</w:t>
      </w:r>
      <w:r w:rsidR="00F971F7">
        <w:rPr>
          <w:rFonts w:asciiTheme="minorHAnsi" w:eastAsiaTheme="minorEastAsia" w:hAnsiTheme="minorHAnsi" w:cstheme="minorBidi"/>
          <w:b w:val="0"/>
          <w:sz w:val="22"/>
          <w:szCs w:val="22"/>
          <w:lang/>
        </w:rPr>
        <w:tab/>
      </w:r>
      <w:r w:rsidR="00F971F7" w:rsidRPr="00E715CE">
        <w:rPr>
          <w:rFonts w:cs="Arial"/>
        </w:rPr>
        <w:t>RAN1/RAN2 takes unicast V2X services as a baseline scenario when studying interface selection schemes.</w:t>
      </w:r>
    </w:p>
    <w:p w14:paraId="34C7369E" w14:textId="77777777" w:rsidR="00F971F7" w:rsidRDefault="00F971F7">
      <w:pPr>
        <w:pStyle w:val="TOC1"/>
        <w:rPr>
          <w:rFonts w:asciiTheme="minorHAnsi" w:eastAsiaTheme="minorEastAsia" w:hAnsiTheme="minorHAnsi" w:cstheme="minorBidi"/>
          <w:b w:val="0"/>
          <w:sz w:val="22"/>
          <w:szCs w:val="22"/>
          <w:lang/>
        </w:rPr>
      </w:pPr>
      <w:r w:rsidRPr="00E715CE">
        <w:rPr>
          <w:rFonts w:cs="Arial"/>
          <w:lang w:val="en-US"/>
        </w:rPr>
        <w:t>Proposal 2</w:t>
      </w:r>
      <w:r>
        <w:rPr>
          <w:rFonts w:asciiTheme="minorHAnsi" w:eastAsiaTheme="minorEastAsia" w:hAnsiTheme="minorHAnsi" w:cstheme="minorBidi"/>
          <w:b w:val="0"/>
          <w:sz w:val="22"/>
          <w:szCs w:val="22"/>
          <w:lang/>
        </w:rPr>
        <w:tab/>
      </w:r>
      <w:r>
        <w:t xml:space="preserve">Upon RAN2 discussions, RAN1/RAN2 </w:t>
      </w:r>
      <w:r w:rsidRPr="00E715CE">
        <w:rPr>
          <w:lang/>
        </w:rPr>
        <w:t>specify (during WI)</w:t>
      </w:r>
      <w:r>
        <w:t xml:space="preserve"> potential measurement reporting from UE to gNB related to interface selection</w:t>
      </w:r>
      <w:r w:rsidRPr="00E715CE">
        <w:rPr>
          <w:rFonts w:cs="Arial"/>
          <w:lang w:val="en-US"/>
        </w:rPr>
        <w:t>.</w:t>
      </w:r>
    </w:p>
    <w:p w14:paraId="4FFE87BF" w14:textId="5CED215F" w:rsidR="007D7277" w:rsidRPr="00191F27" w:rsidRDefault="007D7277" w:rsidP="007D7277">
      <w:pPr>
        <w:pStyle w:val="Heading1"/>
        <w:rPr>
          <w:rFonts w:cs="Arial"/>
        </w:rPr>
      </w:pPr>
      <w:r w:rsidRPr="00191F27">
        <w:rPr>
          <w:rFonts w:cs="Arial"/>
          <w:bCs/>
          <w:lang w:eastAsia="zh-CN"/>
        </w:rPr>
        <w:fldChar w:fldCharType="end"/>
      </w:r>
      <w:bookmarkStart w:id="12" w:name="_GoBack"/>
      <w:bookmarkEnd w:id="12"/>
      <w:r w:rsidRPr="00191F27">
        <w:rPr>
          <w:rFonts w:cs="Arial"/>
        </w:rPr>
        <w:t>References</w:t>
      </w:r>
    </w:p>
    <w:p w14:paraId="72AA942F" w14:textId="598719D9" w:rsidR="007D7277" w:rsidRPr="000C212F" w:rsidRDefault="007D7277" w:rsidP="007D7277">
      <w:pPr>
        <w:pStyle w:val="Reference"/>
        <w:rPr>
          <w:rFonts w:cs="Arial"/>
        </w:rPr>
      </w:pPr>
      <w:r w:rsidRPr="00AD09E5">
        <w:rPr>
          <w:rFonts w:cs="Arial"/>
        </w:rPr>
        <w:t>RP-181480</w:t>
      </w:r>
      <w:r w:rsidR="00F971F7">
        <w:rPr>
          <w:rFonts w:cs="Arial"/>
          <w:lang/>
        </w:rPr>
        <w:t>,</w:t>
      </w:r>
      <w:r w:rsidRPr="00AD09E5">
        <w:rPr>
          <w:rFonts w:cs="Arial"/>
        </w:rPr>
        <w:t xml:space="preserve"> “New SID: </w:t>
      </w:r>
      <w:r w:rsidRPr="000C212F">
        <w:rPr>
          <w:rFonts w:cs="Arial"/>
        </w:rPr>
        <w:t>Study on NR V2X”, RAN#80</w:t>
      </w:r>
    </w:p>
    <w:p w14:paraId="125C3BCF" w14:textId="2D698151" w:rsidR="005F3025" w:rsidRPr="00CE0424" w:rsidRDefault="005F3025" w:rsidP="007D7277">
      <w:pPr>
        <w:pStyle w:val="Reference"/>
        <w:numPr>
          <w:ilvl w:val="0"/>
          <w:numId w:val="0"/>
        </w:numPr>
      </w:pPr>
      <w:bookmarkStart w:id="13" w:name="_In-sequence_SDU_delivery"/>
      <w:bookmarkEnd w:id="13"/>
    </w:p>
    <w:sectPr w:rsidR="005F3025"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949B8" w14:textId="77777777" w:rsidR="00E16CAF" w:rsidRDefault="00E16CAF">
      <w:r>
        <w:separator/>
      </w:r>
    </w:p>
  </w:endnote>
  <w:endnote w:type="continuationSeparator" w:id="0">
    <w:p w14:paraId="4F2ED338" w14:textId="77777777" w:rsidR="00E16CAF" w:rsidRDefault="00E16CAF">
      <w:r>
        <w:continuationSeparator/>
      </w:r>
    </w:p>
  </w:endnote>
  <w:endnote w:type="continuationNotice" w:id="1">
    <w:p w14:paraId="4361CF8F" w14:textId="77777777" w:rsidR="00E16CAF" w:rsidRDefault="00E16C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78CFC" w14:textId="77777777" w:rsidR="00E16CAF" w:rsidRDefault="00E16CAF">
      <w:r>
        <w:separator/>
      </w:r>
    </w:p>
  </w:footnote>
  <w:footnote w:type="continuationSeparator" w:id="0">
    <w:p w14:paraId="0B565F7C" w14:textId="77777777" w:rsidR="00E16CAF" w:rsidRDefault="00E16CAF">
      <w:r>
        <w:continuationSeparator/>
      </w:r>
    </w:p>
  </w:footnote>
  <w:footnote w:type="continuationNotice" w:id="1">
    <w:p w14:paraId="28270E13" w14:textId="77777777" w:rsidR="00E16CAF" w:rsidRDefault="00E16C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A92717"/>
    <w:multiLevelType w:val="hybridMultilevel"/>
    <w:tmpl w:val="97426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34D72"/>
    <w:multiLevelType w:val="hybridMultilevel"/>
    <w:tmpl w:val="AAD8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C20973"/>
    <w:multiLevelType w:val="hybridMultilevel"/>
    <w:tmpl w:val="77B251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CE7774"/>
    <w:multiLevelType w:val="hybridMultilevel"/>
    <w:tmpl w:val="EFF645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A782E"/>
    <w:multiLevelType w:val="hybridMultilevel"/>
    <w:tmpl w:val="88525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A9710E"/>
    <w:multiLevelType w:val="hybridMultilevel"/>
    <w:tmpl w:val="D8B8880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E508A7"/>
    <w:multiLevelType w:val="hybridMultilevel"/>
    <w:tmpl w:val="5A4ED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CED4BCA"/>
    <w:multiLevelType w:val="hybridMultilevel"/>
    <w:tmpl w:val="A538E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401237"/>
    <w:multiLevelType w:val="hybridMultilevel"/>
    <w:tmpl w:val="E4367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9E76AB"/>
    <w:multiLevelType w:val="hybridMultilevel"/>
    <w:tmpl w:val="7CE01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583760D"/>
    <w:multiLevelType w:val="hybridMultilevel"/>
    <w:tmpl w:val="596E6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844857"/>
    <w:multiLevelType w:val="hybridMultilevel"/>
    <w:tmpl w:val="FD485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8" w15:restartNumberingAfterBreak="0">
    <w:nsid w:val="7A9A26C0"/>
    <w:multiLevelType w:val="hybridMultilevel"/>
    <w:tmpl w:val="B3182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5"/>
  </w:num>
  <w:num w:numId="4">
    <w:abstractNumId w:val="16"/>
  </w:num>
  <w:num w:numId="5">
    <w:abstractNumId w:val="12"/>
  </w:num>
  <w:num w:numId="6">
    <w:abstractNumId w:val="19"/>
  </w:num>
  <w:num w:numId="7">
    <w:abstractNumId w:val="28"/>
  </w:num>
  <w:num w:numId="8">
    <w:abstractNumId w:val="13"/>
  </w:num>
  <w:num w:numId="9">
    <w:abstractNumId w:val="11"/>
  </w:num>
  <w:num w:numId="10">
    <w:abstractNumId w:val="2"/>
  </w:num>
  <w:num w:numId="11">
    <w:abstractNumId w:val="1"/>
  </w:num>
  <w:num w:numId="12">
    <w:abstractNumId w:val="0"/>
  </w:num>
  <w:num w:numId="13">
    <w:abstractNumId w:val="25"/>
  </w:num>
  <w:num w:numId="14">
    <w:abstractNumId w:val="26"/>
  </w:num>
  <w:num w:numId="15">
    <w:abstractNumId w:val="18"/>
  </w:num>
  <w:num w:numId="16">
    <w:abstractNumId w:val="29"/>
  </w:num>
  <w:num w:numId="17">
    <w:abstractNumId w:val="9"/>
  </w:num>
  <w:num w:numId="18">
    <w:abstractNumId w:val="10"/>
  </w:num>
  <w:num w:numId="19">
    <w:abstractNumId w:val="7"/>
  </w:num>
  <w:num w:numId="20">
    <w:abstractNumId w:val="34"/>
  </w:num>
  <w:num w:numId="21">
    <w:abstractNumId w:val="14"/>
  </w:num>
  <w:num w:numId="22">
    <w:abstractNumId w:val="33"/>
  </w:num>
  <w:num w:numId="23">
    <w:abstractNumId w:val="31"/>
  </w:num>
  <w:num w:numId="24">
    <w:abstractNumId w:val="32"/>
  </w:num>
  <w:num w:numId="25">
    <w:abstractNumId w:val="17"/>
  </w:num>
  <w:num w:numId="26">
    <w:abstractNumId w:val="22"/>
  </w:num>
  <w:num w:numId="27">
    <w:abstractNumId w:val="37"/>
  </w:num>
  <w:num w:numId="28">
    <w:abstractNumId w:val="3"/>
  </w:num>
  <w:num w:numId="29">
    <w:abstractNumId w:val="3"/>
  </w:num>
  <w:num w:numId="30">
    <w:abstractNumId w:val="38"/>
  </w:num>
  <w:num w:numId="31">
    <w:abstractNumId w:val="35"/>
  </w:num>
  <w:num w:numId="32">
    <w:abstractNumId w:val="5"/>
  </w:num>
  <w:num w:numId="33">
    <w:abstractNumId w:val="6"/>
  </w:num>
  <w:num w:numId="34">
    <w:abstractNumId w:val="8"/>
  </w:num>
  <w:num w:numId="35">
    <w:abstractNumId w:val="21"/>
  </w:num>
  <w:num w:numId="36">
    <w:abstractNumId w:val="20"/>
  </w:num>
  <w:num w:numId="37">
    <w:abstractNumId w:val="27"/>
  </w:num>
  <w:num w:numId="38">
    <w:abstractNumId w:val="30"/>
  </w:num>
  <w:num w:numId="39">
    <w:abstractNumId w:val="36"/>
  </w:num>
  <w:num w:numId="40">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DA6"/>
    <w:rsid w:val="00002A37"/>
    <w:rsid w:val="00002EF5"/>
    <w:rsid w:val="0000564C"/>
    <w:rsid w:val="00006446"/>
    <w:rsid w:val="00006896"/>
    <w:rsid w:val="00006A94"/>
    <w:rsid w:val="00007CDC"/>
    <w:rsid w:val="0001143E"/>
    <w:rsid w:val="00011B28"/>
    <w:rsid w:val="0001225E"/>
    <w:rsid w:val="000122A3"/>
    <w:rsid w:val="0001327E"/>
    <w:rsid w:val="00015D15"/>
    <w:rsid w:val="00021A90"/>
    <w:rsid w:val="0002564D"/>
    <w:rsid w:val="00025ECA"/>
    <w:rsid w:val="00026104"/>
    <w:rsid w:val="0002688A"/>
    <w:rsid w:val="00026D97"/>
    <w:rsid w:val="000325B8"/>
    <w:rsid w:val="00034C15"/>
    <w:rsid w:val="00036BA1"/>
    <w:rsid w:val="00036CBC"/>
    <w:rsid w:val="00037A28"/>
    <w:rsid w:val="00041939"/>
    <w:rsid w:val="000422A1"/>
    <w:rsid w:val="000422E2"/>
    <w:rsid w:val="00042F22"/>
    <w:rsid w:val="000444EF"/>
    <w:rsid w:val="0004558A"/>
    <w:rsid w:val="000469CD"/>
    <w:rsid w:val="00052A07"/>
    <w:rsid w:val="000534E3"/>
    <w:rsid w:val="0005606A"/>
    <w:rsid w:val="00057117"/>
    <w:rsid w:val="000616E7"/>
    <w:rsid w:val="0006204C"/>
    <w:rsid w:val="0006487E"/>
    <w:rsid w:val="00065E1A"/>
    <w:rsid w:val="0006742D"/>
    <w:rsid w:val="00071168"/>
    <w:rsid w:val="00073E9E"/>
    <w:rsid w:val="00077E5F"/>
    <w:rsid w:val="0008036A"/>
    <w:rsid w:val="000816E1"/>
    <w:rsid w:val="00081AE6"/>
    <w:rsid w:val="000855EB"/>
    <w:rsid w:val="000858E4"/>
    <w:rsid w:val="00085B52"/>
    <w:rsid w:val="000866F2"/>
    <w:rsid w:val="0009009F"/>
    <w:rsid w:val="00091557"/>
    <w:rsid w:val="000924C1"/>
    <w:rsid w:val="000924F0"/>
    <w:rsid w:val="00093474"/>
    <w:rsid w:val="0009510F"/>
    <w:rsid w:val="000A0D64"/>
    <w:rsid w:val="000A1B7B"/>
    <w:rsid w:val="000A3833"/>
    <w:rsid w:val="000A56F2"/>
    <w:rsid w:val="000A5952"/>
    <w:rsid w:val="000A79EA"/>
    <w:rsid w:val="000B11AA"/>
    <w:rsid w:val="000B1BC7"/>
    <w:rsid w:val="000B2719"/>
    <w:rsid w:val="000B3A8F"/>
    <w:rsid w:val="000B4AB9"/>
    <w:rsid w:val="000B58C3"/>
    <w:rsid w:val="000B5A15"/>
    <w:rsid w:val="000B61E9"/>
    <w:rsid w:val="000B71A3"/>
    <w:rsid w:val="000B7289"/>
    <w:rsid w:val="000C165A"/>
    <w:rsid w:val="000C2E19"/>
    <w:rsid w:val="000C3290"/>
    <w:rsid w:val="000C3781"/>
    <w:rsid w:val="000C4E76"/>
    <w:rsid w:val="000C7E73"/>
    <w:rsid w:val="000D0434"/>
    <w:rsid w:val="000D0D07"/>
    <w:rsid w:val="000D29F0"/>
    <w:rsid w:val="000D4797"/>
    <w:rsid w:val="000D5995"/>
    <w:rsid w:val="000E0527"/>
    <w:rsid w:val="000E1E92"/>
    <w:rsid w:val="000E7F5D"/>
    <w:rsid w:val="000F06D6"/>
    <w:rsid w:val="000F0EB1"/>
    <w:rsid w:val="000F1106"/>
    <w:rsid w:val="000F3BE9"/>
    <w:rsid w:val="000F3F6C"/>
    <w:rsid w:val="000F6DF3"/>
    <w:rsid w:val="001005FF"/>
    <w:rsid w:val="00105909"/>
    <w:rsid w:val="001062FB"/>
    <w:rsid w:val="001063E6"/>
    <w:rsid w:val="00110956"/>
    <w:rsid w:val="00113CF4"/>
    <w:rsid w:val="00113D3F"/>
    <w:rsid w:val="0011480F"/>
    <w:rsid w:val="00114D63"/>
    <w:rsid w:val="001153EA"/>
    <w:rsid w:val="00115643"/>
    <w:rsid w:val="00116765"/>
    <w:rsid w:val="001219F5"/>
    <w:rsid w:val="00121A20"/>
    <w:rsid w:val="0012377F"/>
    <w:rsid w:val="00124314"/>
    <w:rsid w:val="00126B4A"/>
    <w:rsid w:val="00126D99"/>
    <w:rsid w:val="00132FD0"/>
    <w:rsid w:val="001344C0"/>
    <w:rsid w:val="001346FA"/>
    <w:rsid w:val="00135252"/>
    <w:rsid w:val="00137505"/>
    <w:rsid w:val="00137AB5"/>
    <w:rsid w:val="00137F0B"/>
    <w:rsid w:val="0014239D"/>
    <w:rsid w:val="0014325B"/>
    <w:rsid w:val="00144B87"/>
    <w:rsid w:val="00146472"/>
    <w:rsid w:val="00151AD4"/>
    <w:rsid w:val="00151E23"/>
    <w:rsid w:val="001526E0"/>
    <w:rsid w:val="001551B5"/>
    <w:rsid w:val="0016401F"/>
    <w:rsid w:val="00164058"/>
    <w:rsid w:val="001659C1"/>
    <w:rsid w:val="00173A8E"/>
    <w:rsid w:val="0017502C"/>
    <w:rsid w:val="0017688C"/>
    <w:rsid w:val="00177CA5"/>
    <w:rsid w:val="00180AE4"/>
    <w:rsid w:val="0018143F"/>
    <w:rsid w:val="001814BD"/>
    <w:rsid w:val="00181FCE"/>
    <w:rsid w:val="00181FF8"/>
    <w:rsid w:val="00186114"/>
    <w:rsid w:val="00187B9E"/>
    <w:rsid w:val="00190AC1"/>
    <w:rsid w:val="0019341A"/>
    <w:rsid w:val="00194C14"/>
    <w:rsid w:val="00197DF9"/>
    <w:rsid w:val="001A0C6F"/>
    <w:rsid w:val="001A1987"/>
    <w:rsid w:val="001A2564"/>
    <w:rsid w:val="001A2FFE"/>
    <w:rsid w:val="001A6173"/>
    <w:rsid w:val="001A6CBA"/>
    <w:rsid w:val="001A7399"/>
    <w:rsid w:val="001B0D97"/>
    <w:rsid w:val="001B4D41"/>
    <w:rsid w:val="001B5A5D"/>
    <w:rsid w:val="001B7B3F"/>
    <w:rsid w:val="001C1CE5"/>
    <w:rsid w:val="001C3D2A"/>
    <w:rsid w:val="001C6854"/>
    <w:rsid w:val="001D1328"/>
    <w:rsid w:val="001D51BA"/>
    <w:rsid w:val="001D53E7"/>
    <w:rsid w:val="001D6342"/>
    <w:rsid w:val="001D6D53"/>
    <w:rsid w:val="001D7E10"/>
    <w:rsid w:val="001E18BB"/>
    <w:rsid w:val="001E2643"/>
    <w:rsid w:val="001E2ABF"/>
    <w:rsid w:val="001E58E2"/>
    <w:rsid w:val="001E6E53"/>
    <w:rsid w:val="001E7AED"/>
    <w:rsid w:val="001F3916"/>
    <w:rsid w:val="001F54C5"/>
    <w:rsid w:val="001F662C"/>
    <w:rsid w:val="001F7074"/>
    <w:rsid w:val="00200490"/>
    <w:rsid w:val="002015D2"/>
    <w:rsid w:val="00201F3A"/>
    <w:rsid w:val="00203F96"/>
    <w:rsid w:val="002069B2"/>
    <w:rsid w:val="00207FA3"/>
    <w:rsid w:val="00211610"/>
    <w:rsid w:val="00214DA8"/>
    <w:rsid w:val="00215423"/>
    <w:rsid w:val="002158FA"/>
    <w:rsid w:val="00220600"/>
    <w:rsid w:val="002224DB"/>
    <w:rsid w:val="00223C98"/>
    <w:rsid w:val="00223FCB"/>
    <w:rsid w:val="002252C3"/>
    <w:rsid w:val="00225C51"/>
    <w:rsid w:val="00225C54"/>
    <w:rsid w:val="00226D6E"/>
    <w:rsid w:val="002278A9"/>
    <w:rsid w:val="00230765"/>
    <w:rsid w:val="00230D18"/>
    <w:rsid w:val="002319E4"/>
    <w:rsid w:val="00234118"/>
    <w:rsid w:val="00235632"/>
    <w:rsid w:val="00235872"/>
    <w:rsid w:val="00236164"/>
    <w:rsid w:val="002405ED"/>
    <w:rsid w:val="00241559"/>
    <w:rsid w:val="002435B3"/>
    <w:rsid w:val="002458EB"/>
    <w:rsid w:val="00245D55"/>
    <w:rsid w:val="002500C8"/>
    <w:rsid w:val="00253F9B"/>
    <w:rsid w:val="00254C02"/>
    <w:rsid w:val="00257498"/>
    <w:rsid w:val="00257543"/>
    <w:rsid w:val="00260522"/>
    <w:rsid w:val="002617E7"/>
    <w:rsid w:val="002637F2"/>
    <w:rsid w:val="00264228"/>
    <w:rsid w:val="00264334"/>
    <w:rsid w:val="0026473E"/>
    <w:rsid w:val="00266214"/>
    <w:rsid w:val="00267C83"/>
    <w:rsid w:val="0027144F"/>
    <w:rsid w:val="00271813"/>
    <w:rsid w:val="00271F3A"/>
    <w:rsid w:val="00273278"/>
    <w:rsid w:val="002737F4"/>
    <w:rsid w:val="0027387B"/>
    <w:rsid w:val="00274144"/>
    <w:rsid w:val="002805F5"/>
    <w:rsid w:val="00280751"/>
    <w:rsid w:val="002824CF"/>
    <w:rsid w:val="0028280A"/>
    <w:rsid w:val="00284518"/>
    <w:rsid w:val="00286ACD"/>
    <w:rsid w:val="00287532"/>
    <w:rsid w:val="00287838"/>
    <w:rsid w:val="002907B5"/>
    <w:rsid w:val="0029092E"/>
    <w:rsid w:val="00292EB7"/>
    <w:rsid w:val="00294F99"/>
    <w:rsid w:val="002958C6"/>
    <w:rsid w:val="00296227"/>
    <w:rsid w:val="00296F44"/>
    <w:rsid w:val="0029777D"/>
    <w:rsid w:val="002A055E"/>
    <w:rsid w:val="002A1D4E"/>
    <w:rsid w:val="002A2869"/>
    <w:rsid w:val="002A71E9"/>
    <w:rsid w:val="002A7EDA"/>
    <w:rsid w:val="002B24D6"/>
    <w:rsid w:val="002C1397"/>
    <w:rsid w:val="002C41E6"/>
    <w:rsid w:val="002C730E"/>
    <w:rsid w:val="002D071A"/>
    <w:rsid w:val="002D15F2"/>
    <w:rsid w:val="002D22AA"/>
    <w:rsid w:val="002D34B2"/>
    <w:rsid w:val="002D48B0"/>
    <w:rsid w:val="002D5B37"/>
    <w:rsid w:val="002D6F6C"/>
    <w:rsid w:val="002D7637"/>
    <w:rsid w:val="002E17F2"/>
    <w:rsid w:val="002E26CD"/>
    <w:rsid w:val="002E271C"/>
    <w:rsid w:val="002E3CAB"/>
    <w:rsid w:val="002E6E8F"/>
    <w:rsid w:val="002E7CAE"/>
    <w:rsid w:val="002F0C37"/>
    <w:rsid w:val="002F140B"/>
    <w:rsid w:val="002F23BF"/>
    <w:rsid w:val="002F2771"/>
    <w:rsid w:val="002F3063"/>
    <w:rsid w:val="002F37A9"/>
    <w:rsid w:val="003014ED"/>
    <w:rsid w:val="00301CE6"/>
    <w:rsid w:val="00302525"/>
    <w:rsid w:val="0030256B"/>
    <w:rsid w:val="003035A2"/>
    <w:rsid w:val="00303B9E"/>
    <w:rsid w:val="0030501F"/>
    <w:rsid w:val="00307BA1"/>
    <w:rsid w:val="00311702"/>
    <w:rsid w:val="00311E82"/>
    <w:rsid w:val="00313FD6"/>
    <w:rsid w:val="003143BD"/>
    <w:rsid w:val="003147BC"/>
    <w:rsid w:val="00315363"/>
    <w:rsid w:val="003203ED"/>
    <w:rsid w:val="00322C9F"/>
    <w:rsid w:val="00324D23"/>
    <w:rsid w:val="00331046"/>
    <w:rsid w:val="00331751"/>
    <w:rsid w:val="00331BCD"/>
    <w:rsid w:val="00331DFF"/>
    <w:rsid w:val="00334579"/>
    <w:rsid w:val="00335858"/>
    <w:rsid w:val="00335B5B"/>
    <w:rsid w:val="00336BDA"/>
    <w:rsid w:val="0034087D"/>
    <w:rsid w:val="00340F20"/>
    <w:rsid w:val="00342BD7"/>
    <w:rsid w:val="00345B87"/>
    <w:rsid w:val="00346672"/>
    <w:rsid w:val="00346DB5"/>
    <w:rsid w:val="003477B1"/>
    <w:rsid w:val="00357380"/>
    <w:rsid w:val="00357418"/>
    <w:rsid w:val="003602D9"/>
    <w:rsid w:val="003604CE"/>
    <w:rsid w:val="003607DA"/>
    <w:rsid w:val="003612BA"/>
    <w:rsid w:val="00361A5D"/>
    <w:rsid w:val="00361A96"/>
    <w:rsid w:val="00370E47"/>
    <w:rsid w:val="003742AC"/>
    <w:rsid w:val="00377CE1"/>
    <w:rsid w:val="00380011"/>
    <w:rsid w:val="00385BF0"/>
    <w:rsid w:val="003915D0"/>
    <w:rsid w:val="003939FF"/>
    <w:rsid w:val="003A2223"/>
    <w:rsid w:val="003A2A0F"/>
    <w:rsid w:val="003A45A1"/>
    <w:rsid w:val="003A5B0A"/>
    <w:rsid w:val="003A6BAC"/>
    <w:rsid w:val="003A70A4"/>
    <w:rsid w:val="003A7EF3"/>
    <w:rsid w:val="003B159C"/>
    <w:rsid w:val="003B2B3A"/>
    <w:rsid w:val="003B369F"/>
    <w:rsid w:val="003B36A3"/>
    <w:rsid w:val="003B378A"/>
    <w:rsid w:val="003B5216"/>
    <w:rsid w:val="003B64BB"/>
    <w:rsid w:val="003B7FE5"/>
    <w:rsid w:val="003C11C8"/>
    <w:rsid w:val="003C16A8"/>
    <w:rsid w:val="003C2702"/>
    <w:rsid w:val="003C7806"/>
    <w:rsid w:val="003D0ECE"/>
    <w:rsid w:val="003D109F"/>
    <w:rsid w:val="003D2478"/>
    <w:rsid w:val="003D3C45"/>
    <w:rsid w:val="003D5B1F"/>
    <w:rsid w:val="003E15FA"/>
    <w:rsid w:val="003E4247"/>
    <w:rsid w:val="003E55E4"/>
    <w:rsid w:val="003E74E3"/>
    <w:rsid w:val="003F05C7"/>
    <w:rsid w:val="003F2389"/>
    <w:rsid w:val="003F2CD4"/>
    <w:rsid w:val="003F6BBE"/>
    <w:rsid w:val="004000E8"/>
    <w:rsid w:val="00402C96"/>
    <w:rsid w:val="00402E2B"/>
    <w:rsid w:val="0040512B"/>
    <w:rsid w:val="004055DD"/>
    <w:rsid w:val="00405A0D"/>
    <w:rsid w:val="00405CA5"/>
    <w:rsid w:val="00407CD3"/>
    <w:rsid w:val="00410134"/>
    <w:rsid w:val="00410B72"/>
    <w:rsid w:val="00410F18"/>
    <w:rsid w:val="0041263E"/>
    <w:rsid w:val="00413AAC"/>
    <w:rsid w:val="00413E92"/>
    <w:rsid w:val="004149A5"/>
    <w:rsid w:val="004167D7"/>
    <w:rsid w:val="00421105"/>
    <w:rsid w:val="0042185A"/>
    <w:rsid w:val="00421CC9"/>
    <w:rsid w:val="00422AA4"/>
    <w:rsid w:val="004242F4"/>
    <w:rsid w:val="00427248"/>
    <w:rsid w:val="00437447"/>
    <w:rsid w:val="00437C11"/>
    <w:rsid w:val="004416EC"/>
    <w:rsid w:val="00441A92"/>
    <w:rsid w:val="004428E3"/>
    <w:rsid w:val="004431DC"/>
    <w:rsid w:val="00444F56"/>
    <w:rsid w:val="00445CEB"/>
    <w:rsid w:val="00445F7A"/>
    <w:rsid w:val="00446488"/>
    <w:rsid w:val="004507D0"/>
    <w:rsid w:val="004517AA"/>
    <w:rsid w:val="00452CAC"/>
    <w:rsid w:val="00455324"/>
    <w:rsid w:val="00456883"/>
    <w:rsid w:val="00456B9E"/>
    <w:rsid w:val="00457565"/>
    <w:rsid w:val="00457B71"/>
    <w:rsid w:val="00464374"/>
    <w:rsid w:val="00464521"/>
    <w:rsid w:val="0046528D"/>
    <w:rsid w:val="004654CB"/>
    <w:rsid w:val="004669E2"/>
    <w:rsid w:val="00470C31"/>
    <w:rsid w:val="00471DE0"/>
    <w:rsid w:val="00472311"/>
    <w:rsid w:val="004734D0"/>
    <w:rsid w:val="00473D65"/>
    <w:rsid w:val="0047556B"/>
    <w:rsid w:val="00477404"/>
    <w:rsid w:val="00477768"/>
    <w:rsid w:val="0048010D"/>
    <w:rsid w:val="00480872"/>
    <w:rsid w:val="00483F8B"/>
    <w:rsid w:val="00484060"/>
    <w:rsid w:val="00492BC5"/>
    <w:rsid w:val="00492C19"/>
    <w:rsid w:val="004964F1"/>
    <w:rsid w:val="004A10EF"/>
    <w:rsid w:val="004A16BC"/>
    <w:rsid w:val="004A1AA8"/>
    <w:rsid w:val="004A2B94"/>
    <w:rsid w:val="004A514D"/>
    <w:rsid w:val="004B0799"/>
    <w:rsid w:val="004B1F12"/>
    <w:rsid w:val="004B5837"/>
    <w:rsid w:val="004B64AE"/>
    <w:rsid w:val="004B6BEB"/>
    <w:rsid w:val="004B6F6A"/>
    <w:rsid w:val="004B7C0C"/>
    <w:rsid w:val="004C3898"/>
    <w:rsid w:val="004C48E8"/>
    <w:rsid w:val="004C7F4F"/>
    <w:rsid w:val="004D28AB"/>
    <w:rsid w:val="004D36B1"/>
    <w:rsid w:val="004D4CF5"/>
    <w:rsid w:val="004D54D8"/>
    <w:rsid w:val="004D5A09"/>
    <w:rsid w:val="004D7EBD"/>
    <w:rsid w:val="004E2680"/>
    <w:rsid w:val="004E28F9"/>
    <w:rsid w:val="004E34CE"/>
    <w:rsid w:val="004E462E"/>
    <w:rsid w:val="004E4F75"/>
    <w:rsid w:val="004E56DC"/>
    <w:rsid w:val="004E6F18"/>
    <w:rsid w:val="004E76F4"/>
    <w:rsid w:val="004F0424"/>
    <w:rsid w:val="004F0B4E"/>
    <w:rsid w:val="004F0B6C"/>
    <w:rsid w:val="004F10AC"/>
    <w:rsid w:val="004F2078"/>
    <w:rsid w:val="004F2E3D"/>
    <w:rsid w:val="004F4DA3"/>
    <w:rsid w:val="0050069B"/>
    <w:rsid w:val="00506084"/>
    <w:rsid w:val="00506557"/>
    <w:rsid w:val="0050677A"/>
    <w:rsid w:val="005108D8"/>
    <w:rsid w:val="00510C93"/>
    <w:rsid w:val="005116F9"/>
    <w:rsid w:val="00512B58"/>
    <w:rsid w:val="005153A7"/>
    <w:rsid w:val="00520DDD"/>
    <w:rsid w:val="005219CF"/>
    <w:rsid w:val="00534B59"/>
    <w:rsid w:val="00535DE4"/>
    <w:rsid w:val="00536759"/>
    <w:rsid w:val="00537A4F"/>
    <w:rsid w:val="00537C62"/>
    <w:rsid w:val="00546590"/>
    <w:rsid w:val="00546970"/>
    <w:rsid w:val="00550B1B"/>
    <w:rsid w:val="00552288"/>
    <w:rsid w:val="00554E19"/>
    <w:rsid w:val="00554F70"/>
    <w:rsid w:val="0055555F"/>
    <w:rsid w:val="00555B5D"/>
    <w:rsid w:val="00557CF6"/>
    <w:rsid w:val="0056121F"/>
    <w:rsid w:val="00572505"/>
    <w:rsid w:val="0057384E"/>
    <w:rsid w:val="00582809"/>
    <w:rsid w:val="00586345"/>
    <w:rsid w:val="0058798C"/>
    <w:rsid w:val="005900FA"/>
    <w:rsid w:val="005935A4"/>
    <w:rsid w:val="005948C2"/>
    <w:rsid w:val="00595DCA"/>
    <w:rsid w:val="0059779B"/>
    <w:rsid w:val="005A06FA"/>
    <w:rsid w:val="005A209A"/>
    <w:rsid w:val="005A30F7"/>
    <w:rsid w:val="005A662D"/>
    <w:rsid w:val="005A7AFE"/>
    <w:rsid w:val="005A7E76"/>
    <w:rsid w:val="005B05DA"/>
    <w:rsid w:val="005B1409"/>
    <w:rsid w:val="005B35D7"/>
    <w:rsid w:val="005B386F"/>
    <w:rsid w:val="005B392A"/>
    <w:rsid w:val="005B3AA3"/>
    <w:rsid w:val="005B4ECE"/>
    <w:rsid w:val="005B6F83"/>
    <w:rsid w:val="005C6375"/>
    <w:rsid w:val="005C6C9F"/>
    <w:rsid w:val="005C74FB"/>
    <w:rsid w:val="005D099F"/>
    <w:rsid w:val="005D1602"/>
    <w:rsid w:val="005D394B"/>
    <w:rsid w:val="005E17A9"/>
    <w:rsid w:val="005E385F"/>
    <w:rsid w:val="005E5B81"/>
    <w:rsid w:val="005E7D8B"/>
    <w:rsid w:val="005F2CB1"/>
    <w:rsid w:val="005F2CEA"/>
    <w:rsid w:val="005F3025"/>
    <w:rsid w:val="005F3744"/>
    <w:rsid w:val="005F48C2"/>
    <w:rsid w:val="005F618C"/>
    <w:rsid w:val="005F6B33"/>
    <w:rsid w:val="005F70BD"/>
    <w:rsid w:val="00600216"/>
    <w:rsid w:val="00600903"/>
    <w:rsid w:val="0060283C"/>
    <w:rsid w:val="006031E4"/>
    <w:rsid w:val="00604F14"/>
    <w:rsid w:val="00606BAC"/>
    <w:rsid w:val="00611B83"/>
    <w:rsid w:val="00613257"/>
    <w:rsid w:val="0061450A"/>
    <w:rsid w:val="00614E7A"/>
    <w:rsid w:val="00620A71"/>
    <w:rsid w:val="00620D80"/>
    <w:rsid w:val="006234A6"/>
    <w:rsid w:val="00623831"/>
    <w:rsid w:val="00625153"/>
    <w:rsid w:val="006257D9"/>
    <w:rsid w:val="00630001"/>
    <w:rsid w:val="006311B3"/>
    <w:rsid w:val="006315AF"/>
    <w:rsid w:val="0063284C"/>
    <w:rsid w:val="006336A5"/>
    <w:rsid w:val="00635B02"/>
    <w:rsid w:val="00636398"/>
    <w:rsid w:val="006368D3"/>
    <w:rsid w:val="006377EC"/>
    <w:rsid w:val="006378CD"/>
    <w:rsid w:val="0064151F"/>
    <w:rsid w:val="00641533"/>
    <w:rsid w:val="0064208D"/>
    <w:rsid w:val="00643475"/>
    <w:rsid w:val="0064396A"/>
    <w:rsid w:val="00643CCB"/>
    <w:rsid w:val="0064624E"/>
    <w:rsid w:val="00650AB9"/>
    <w:rsid w:val="00654B5D"/>
    <w:rsid w:val="00655733"/>
    <w:rsid w:val="00655ACD"/>
    <w:rsid w:val="00656A92"/>
    <w:rsid w:val="00656DDE"/>
    <w:rsid w:val="0066011D"/>
    <w:rsid w:val="006607C0"/>
    <w:rsid w:val="006613A6"/>
    <w:rsid w:val="006627A2"/>
    <w:rsid w:val="00663263"/>
    <w:rsid w:val="006634E6"/>
    <w:rsid w:val="00663C77"/>
    <w:rsid w:val="006655EE"/>
    <w:rsid w:val="00665916"/>
    <w:rsid w:val="00667EE7"/>
    <w:rsid w:val="00670922"/>
    <w:rsid w:val="00670BE1"/>
    <w:rsid w:val="0067218F"/>
    <w:rsid w:val="00672795"/>
    <w:rsid w:val="006741F2"/>
    <w:rsid w:val="00674CC3"/>
    <w:rsid w:val="00675129"/>
    <w:rsid w:val="00675C72"/>
    <w:rsid w:val="006771F9"/>
    <w:rsid w:val="006776D7"/>
    <w:rsid w:val="00681003"/>
    <w:rsid w:val="006817C9"/>
    <w:rsid w:val="00683ECE"/>
    <w:rsid w:val="0069438B"/>
    <w:rsid w:val="00694639"/>
    <w:rsid w:val="00695FC2"/>
    <w:rsid w:val="00696949"/>
    <w:rsid w:val="00697052"/>
    <w:rsid w:val="006A46FB"/>
    <w:rsid w:val="006A511E"/>
    <w:rsid w:val="006A5E28"/>
    <w:rsid w:val="006A697B"/>
    <w:rsid w:val="006A7AFF"/>
    <w:rsid w:val="006B1816"/>
    <w:rsid w:val="006B2061"/>
    <w:rsid w:val="006B2099"/>
    <w:rsid w:val="006B2817"/>
    <w:rsid w:val="006B50CF"/>
    <w:rsid w:val="006B52F1"/>
    <w:rsid w:val="006B6310"/>
    <w:rsid w:val="006B73EA"/>
    <w:rsid w:val="006C03B8"/>
    <w:rsid w:val="006C116D"/>
    <w:rsid w:val="006C277C"/>
    <w:rsid w:val="006C2978"/>
    <w:rsid w:val="006C3B3F"/>
    <w:rsid w:val="006C5EC9"/>
    <w:rsid w:val="006C6059"/>
    <w:rsid w:val="006C7522"/>
    <w:rsid w:val="006D1CA6"/>
    <w:rsid w:val="006D49F4"/>
    <w:rsid w:val="006D6F08"/>
    <w:rsid w:val="006E062C"/>
    <w:rsid w:val="006E1C82"/>
    <w:rsid w:val="006E28B7"/>
    <w:rsid w:val="006E2A9B"/>
    <w:rsid w:val="006E3310"/>
    <w:rsid w:val="006E4E39"/>
    <w:rsid w:val="006E565E"/>
    <w:rsid w:val="006E673D"/>
    <w:rsid w:val="006E7D3B"/>
    <w:rsid w:val="006F0F3D"/>
    <w:rsid w:val="006F1B70"/>
    <w:rsid w:val="006F341D"/>
    <w:rsid w:val="006F3CDE"/>
    <w:rsid w:val="006F58D4"/>
    <w:rsid w:val="006F6582"/>
    <w:rsid w:val="0070346E"/>
    <w:rsid w:val="00704EDB"/>
    <w:rsid w:val="00706101"/>
    <w:rsid w:val="00707072"/>
    <w:rsid w:val="00707D61"/>
    <w:rsid w:val="00712287"/>
    <w:rsid w:val="00712772"/>
    <w:rsid w:val="00714203"/>
    <w:rsid w:val="007148D3"/>
    <w:rsid w:val="00715B9A"/>
    <w:rsid w:val="0072070E"/>
    <w:rsid w:val="00721328"/>
    <w:rsid w:val="007224ED"/>
    <w:rsid w:val="007257D0"/>
    <w:rsid w:val="00726EA6"/>
    <w:rsid w:val="00727208"/>
    <w:rsid w:val="00727680"/>
    <w:rsid w:val="007306C2"/>
    <w:rsid w:val="007348B1"/>
    <w:rsid w:val="00735540"/>
    <w:rsid w:val="007362A6"/>
    <w:rsid w:val="00736D7D"/>
    <w:rsid w:val="00740D69"/>
    <w:rsid w:val="00740E58"/>
    <w:rsid w:val="007420A3"/>
    <w:rsid w:val="007445A0"/>
    <w:rsid w:val="0074524B"/>
    <w:rsid w:val="007465D1"/>
    <w:rsid w:val="00747D8B"/>
    <w:rsid w:val="00751228"/>
    <w:rsid w:val="0075265B"/>
    <w:rsid w:val="007571E1"/>
    <w:rsid w:val="007604B2"/>
    <w:rsid w:val="007636A8"/>
    <w:rsid w:val="00765281"/>
    <w:rsid w:val="00765E16"/>
    <w:rsid w:val="00766BAD"/>
    <w:rsid w:val="007729A2"/>
    <w:rsid w:val="007749B3"/>
    <w:rsid w:val="007755F2"/>
    <w:rsid w:val="007764FD"/>
    <w:rsid w:val="00776971"/>
    <w:rsid w:val="00776E33"/>
    <w:rsid w:val="00780A80"/>
    <w:rsid w:val="0078177E"/>
    <w:rsid w:val="0078304C"/>
    <w:rsid w:val="00783673"/>
    <w:rsid w:val="00784661"/>
    <w:rsid w:val="00785490"/>
    <w:rsid w:val="00790359"/>
    <w:rsid w:val="007906BD"/>
    <w:rsid w:val="00790F92"/>
    <w:rsid w:val="007925EA"/>
    <w:rsid w:val="007934AF"/>
    <w:rsid w:val="00793CD8"/>
    <w:rsid w:val="007948E8"/>
    <w:rsid w:val="00795C92"/>
    <w:rsid w:val="00796231"/>
    <w:rsid w:val="007A1CB3"/>
    <w:rsid w:val="007A306F"/>
    <w:rsid w:val="007A43A6"/>
    <w:rsid w:val="007A45B5"/>
    <w:rsid w:val="007A58A6"/>
    <w:rsid w:val="007B383B"/>
    <w:rsid w:val="007B3D2D"/>
    <w:rsid w:val="007B50AE"/>
    <w:rsid w:val="007B51DF"/>
    <w:rsid w:val="007B6006"/>
    <w:rsid w:val="007C05DD"/>
    <w:rsid w:val="007C29B4"/>
    <w:rsid w:val="007C3D18"/>
    <w:rsid w:val="007C53BA"/>
    <w:rsid w:val="007C5C70"/>
    <w:rsid w:val="007C60BF"/>
    <w:rsid w:val="007C6A07"/>
    <w:rsid w:val="007C75A1"/>
    <w:rsid w:val="007C77A5"/>
    <w:rsid w:val="007D04E5"/>
    <w:rsid w:val="007D5901"/>
    <w:rsid w:val="007D7277"/>
    <w:rsid w:val="007D7526"/>
    <w:rsid w:val="007E4610"/>
    <w:rsid w:val="007E4715"/>
    <w:rsid w:val="007E505B"/>
    <w:rsid w:val="007E7091"/>
    <w:rsid w:val="007F366E"/>
    <w:rsid w:val="007F7E00"/>
    <w:rsid w:val="00800545"/>
    <w:rsid w:val="00803FAE"/>
    <w:rsid w:val="0080450D"/>
    <w:rsid w:val="0080605F"/>
    <w:rsid w:val="00807786"/>
    <w:rsid w:val="00811FCB"/>
    <w:rsid w:val="00813C85"/>
    <w:rsid w:val="0081422D"/>
    <w:rsid w:val="00814666"/>
    <w:rsid w:val="008154B0"/>
    <w:rsid w:val="008158D6"/>
    <w:rsid w:val="00815E8F"/>
    <w:rsid w:val="00817196"/>
    <w:rsid w:val="008228D6"/>
    <w:rsid w:val="008235DB"/>
    <w:rsid w:val="00824AB4"/>
    <w:rsid w:val="00825786"/>
    <w:rsid w:val="00825C42"/>
    <w:rsid w:val="00825D25"/>
    <w:rsid w:val="00827D6F"/>
    <w:rsid w:val="00831ECC"/>
    <w:rsid w:val="00835F53"/>
    <w:rsid w:val="008376AC"/>
    <w:rsid w:val="008378F2"/>
    <w:rsid w:val="008409D0"/>
    <w:rsid w:val="00840F4E"/>
    <w:rsid w:val="008414B2"/>
    <w:rsid w:val="00842E79"/>
    <w:rsid w:val="00843099"/>
    <w:rsid w:val="008444E8"/>
    <w:rsid w:val="00844E80"/>
    <w:rsid w:val="00846FE7"/>
    <w:rsid w:val="00847D45"/>
    <w:rsid w:val="00853653"/>
    <w:rsid w:val="00854744"/>
    <w:rsid w:val="00856911"/>
    <w:rsid w:val="00861115"/>
    <w:rsid w:val="008677FD"/>
    <w:rsid w:val="008706D4"/>
    <w:rsid w:val="00870F8A"/>
    <w:rsid w:val="008719A4"/>
    <w:rsid w:val="00871D23"/>
    <w:rsid w:val="008733BF"/>
    <w:rsid w:val="00873FFB"/>
    <w:rsid w:val="00874312"/>
    <w:rsid w:val="0087437C"/>
    <w:rsid w:val="00874636"/>
    <w:rsid w:val="008751ED"/>
    <w:rsid w:val="00875CD7"/>
    <w:rsid w:val="00876B4D"/>
    <w:rsid w:val="00876C11"/>
    <w:rsid w:val="00876DB3"/>
    <w:rsid w:val="008773A0"/>
    <w:rsid w:val="00877F18"/>
    <w:rsid w:val="00880003"/>
    <w:rsid w:val="0088491A"/>
    <w:rsid w:val="00892319"/>
    <w:rsid w:val="0089366C"/>
    <w:rsid w:val="008941E3"/>
    <w:rsid w:val="00894A88"/>
    <w:rsid w:val="00895386"/>
    <w:rsid w:val="008954B3"/>
    <w:rsid w:val="008A21FF"/>
    <w:rsid w:val="008A2CE2"/>
    <w:rsid w:val="008A30AC"/>
    <w:rsid w:val="008A44B8"/>
    <w:rsid w:val="008A51A8"/>
    <w:rsid w:val="008A54C7"/>
    <w:rsid w:val="008A77D8"/>
    <w:rsid w:val="008B0483"/>
    <w:rsid w:val="008B120C"/>
    <w:rsid w:val="008B2CE2"/>
    <w:rsid w:val="008B51A0"/>
    <w:rsid w:val="008B592A"/>
    <w:rsid w:val="008B7B5C"/>
    <w:rsid w:val="008C0C99"/>
    <w:rsid w:val="008C2017"/>
    <w:rsid w:val="008C4958"/>
    <w:rsid w:val="008C4BAA"/>
    <w:rsid w:val="008C54C8"/>
    <w:rsid w:val="008C6AE8"/>
    <w:rsid w:val="008C7573"/>
    <w:rsid w:val="008D00A5"/>
    <w:rsid w:val="008D34F1"/>
    <w:rsid w:val="008D39D8"/>
    <w:rsid w:val="008D6D1A"/>
    <w:rsid w:val="008E065E"/>
    <w:rsid w:val="008E07C1"/>
    <w:rsid w:val="008E0927"/>
    <w:rsid w:val="008E0A05"/>
    <w:rsid w:val="008E152B"/>
    <w:rsid w:val="008E1909"/>
    <w:rsid w:val="008E4A60"/>
    <w:rsid w:val="008F12CB"/>
    <w:rsid w:val="008F1C4E"/>
    <w:rsid w:val="008F1EAB"/>
    <w:rsid w:val="008F33DC"/>
    <w:rsid w:val="008F477F"/>
    <w:rsid w:val="008F73DD"/>
    <w:rsid w:val="00901D04"/>
    <w:rsid w:val="00902350"/>
    <w:rsid w:val="009023A1"/>
    <w:rsid w:val="00902BB9"/>
    <w:rsid w:val="0090336B"/>
    <w:rsid w:val="00903A60"/>
    <w:rsid w:val="00904C20"/>
    <w:rsid w:val="009053AA"/>
    <w:rsid w:val="00906939"/>
    <w:rsid w:val="009074AF"/>
    <w:rsid w:val="00910B7D"/>
    <w:rsid w:val="00911DFB"/>
    <w:rsid w:val="009139D9"/>
    <w:rsid w:val="00914AD8"/>
    <w:rsid w:val="0091523E"/>
    <w:rsid w:val="00916079"/>
    <w:rsid w:val="00917CE9"/>
    <w:rsid w:val="0092076E"/>
    <w:rsid w:val="00920BF2"/>
    <w:rsid w:val="00922010"/>
    <w:rsid w:val="00924905"/>
    <w:rsid w:val="00931BD9"/>
    <w:rsid w:val="009368F3"/>
    <w:rsid w:val="00937A49"/>
    <w:rsid w:val="00941636"/>
    <w:rsid w:val="0094372C"/>
    <w:rsid w:val="00943742"/>
    <w:rsid w:val="00944B46"/>
    <w:rsid w:val="00945C05"/>
    <w:rsid w:val="00946945"/>
    <w:rsid w:val="00946C27"/>
    <w:rsid w:val="00947713"/>
    <w:rsid w:val="00950DE7"/>
    <w:rsid w:val="00953920"/>
    <w:rsid w:val="00953A93"/>
    <w:rsid w:val="00953D47"/>
    <w:rsid w:val="0095681E"/>
    <w:rsid w:val="009572D4"/>
    <w:rsid w:val="00961921"/>
    <w:rsid w:val="00961B7E"/>
    <w:rsid w:val="009632B7"/>
    <w:rsid w:val="0096430A"/>
    <w:rsid w:val="009646F4"/>
    <w:rsid w:val="0096554B"/>
    <w:rsid w:val="0096584A"/>
    <w:rsid w:val="00971F08"/>
    <w:rsid w:val="009726E9"/>
    <w:rsid w:val="00973B6A"/>
    <w:rsid w:val="0097603D"/>
    <w:rsid w:val="00976949"/>
    <w:rsid w:val="00980477"/>
    <w:rsid w:val="00985253"/>
    <w:rsid w:val="009853B3"/>
    <w:rsid w:val="00987BBB"/>
    <w:rsid w:val="00990630"/>
    <w:rsid w:val="00991208"/>
    <w:rsid w:val="00991761"/>
    <w:rsid w:val="00994DCA"/>
    <w:rsid w:val="0099539F"/>
    <w:rsid w:val="009960EC"/>
    <w:rsid w:val="009970DD"/>
    <w:rsid w:val="009A0C27"/>
    <w:rsid w:val="009A0FBA"/>
    <w:rsid w:val="009A1601"/>
    <w:rsid w:val="009A1795"/>
    <w:rsid w:val="009A2E73"/>
    <w:rsid w:val="009A3BB6"/>
    <w:rsid w:val="009A462D"/>
    <w:rsid w:val="009A55B5"/>
    <w:rsid w:val="009A56D6"/>
    <w:rsid w:val="009A5C3F"/>
    <w:rsid w:val="009A5CBA"/>
    <w:rsid w:val="009A70D2"/>
    <w:rsid w:val="009B0217"/>
    <w:rsid w:val="009B134C"/>
    <w:rsid w:val="009B1F30"/>
    <w:rsid w:val="009B3AC2"/>
    <w:rsid w:val="009B4DF4"/>
    <w:rsid w:val="009B564E"/>
    <w:rsid w:val="009B5D05"/>
    <w:rsid w:val="009B7E87"/>
    <w:rsid w:val="009C0169"/>
    <w:rsid w:val="009C403E"/>
    <w:rsid w:val="009C77A4"/>
    <w:rsid w:val="009D4FF0"/>
    <w:rsid w:val="009D6DFC"/>
    <w:rsid w:val="009D703C"/>
    <w:rsid w:val="009D718F"/>
    <w:rsid w:val="009E068F"/>
    <w:rsid w:val="009E14E0"/>
    <w:rsid w:val="009E35DB"/>
    <w:rsid w:val="009E47A3"/>
    <w:rsid w:val="009E4BF9"/>
    <w:rsid w:val="009F08F3"/>
    <w:rsid w:val="009F344F"/>
    <w:rsid w:val="00A02BBA"/>
    <w:rsid w:val="00A02E13"/>
    <w:rsid w:val="00A031D8"/>
    <w:rsid w:val="00A048A8"/>
    <w:rsid w:val="00A04F49"/>
    <w:rsid w:val="00A0537A"/>
    <w:rsid w:val="00A05CAC"/>
    <w:rsid w:val="00A13E54"/>
    <w:rsid w:val="00A16207"/>
    <w:rsid w:val="00A16255"/>
    <w:rsid w:val="00A17F63"/>
    <w:rsid w:val="00A2193B"/>
    <w:rsid w:val="00A21E78"/>
    <w:rsid w:val="00A2351A"/>
    <w:rsid w:val="00A264A9"/>
    <w:rsid w:val="00A26DCF"/>
    <w:rsid w:val="00A27785"/>
    <w:rsid w:val="00A30187"/>
    <w:rsid w:val="00A3126A"/>
    <w:rsid w:val="00A3448A"/>
    <w:rsid w:val="00A34F31"/>
    <w:rsid w:val="00A35CE5"/>
    <w:rsid w:val="00A36297"/>
    <w:rsid w:val="00A41E2B"/>
    <w:rsid w:val="00A42FCE"/>
    <w:rsid w:val="00A44E57"/>
    <w:rsid w:val="00A45885"/>
    <w:rsid w:val="00A45B74"/>
    <w:rsid w:val="00A50A6A"/>
    <w:rsid w:val="00A52E1D"/>
    <w:rsid w:val="00A533D7"/>
    <w:rsid w:val="00A56DE4"/>
    <w:rsid w:val="00A57B00"/>
    <w:rsid w:val="00A61499"/>
    <w:rsid w:val="00A62483"/>
    <w:rsid w:val="00A62A77"/>
    <w:rsid w:val="00A63483"/>
    <w:rsid w:val="00A657D7"/>
    <w:rsid w:val="00A660AC"/>
    <w:rsid w:val="00A67E6C"/>
    <w:rsid w:val="00A71B99"/>
    <w:rsid w:val="00A71E9D"/>
    <w:rsid w:val="00A739D0"/>
    <w:rsid w:val="00A746F0"/>
    <w:rsid w:val="00A74DF2"/>
    <w:rsid w:val="00A761D4"/>
    <w:rsid w:val="00A77EC4"/>
    <w:rsid w:val="00A800E1"/>
    <w:rsid w:val="00A80293"/>
    <w:rsid w:val="00A92879"/>
    <w:rsid w:val="00A92963"/>
    <w:rsid w:val="00A93788"/>
    <w:rsid w:val="00A9442A"/>
    <w:rsid w:val="00AA016F"/>
    <w:rsid w:val="00AA1ED6"/>
    <w:rsid w:val="00AA51D6"/>
    <w:rsid w:val="00AB01BE"/>
    <w:rsid w:val="00AB0BC8"/>
    <w:rsid w:val="00AB11CA"/>
    <w:rsid w:val="00AB14D9"/>
    <w:rsid w:val="00AB4AB8"/>
    <w:rsid w:val="00AB5023"/>
    <w:rsid w:val="00AB56B0"/>
    <w:rsid w:val="00AB655E"/>
    <w:rsid w:val="00AC007F"/>
    <w:rsid w:val="00AC1EC4"/>
    <w:rsid w:val="00AC2ECD"/>
    <w:rsid w:val="00AC3119"/>
    <w:rsid w:val="00AC49FB"/>
    <w:rsid w:val="00AC5A10"/>
    <w:rsid w:val="00AC67F9"/>
    <w:rsid w:val="00AD0AA3"/>
    <w:rsid w:val="00AD2ED0"/>
    <w:rsid w:val="00AD3F94"/>
    <w:rsid w:val="00AD4A5A"/>
    <w:rsid w:val="00AE27AC"/>
    <w:rsid w:val="00AE40E0"/>
    <w:rsid w:val="00AE4DBA"/>
    <w:rsid w:val="00AE4F07"/>
    <w:rsid w:val="00AE6068"/>
    <w:rsid w:val="00AE6252"/>
    <w:rsid w:val="00AF1C5D"/>
    <w:rsid w:val="00AF42D7"/>
    <w:rsid w:val="00B00306"/>
    <w:rsid w:val="00B006FE"/>
    <w:rsid w:val="00B007CB"/>
    <w:rsid w:val="00B010AC"/>
    <w:rsid w:val="00B02AA9"/>
    <w:rsid w:val="00B02FA3"/>
    <w:rsid w:val="00B05084"/>
    <w:rsid w:val="00B05FE6"/>
    <w:rsid w:val="00B127CA"/>
    <w:rsid w:val="00B157F9"/>
    <w:rsid w:val="00B16860"/>
    <w:rsid w:val="00B16B9E"/>
    <w:rsid w:val="00B20256"/>
    <w:rsid w:val="00B20D09"/>
    <w:rsid w:val="00B2763F"/>
    <w:rsid w:val="00B27AAC"/>
    <w:rsid w:val="00B30929"/>
    <w:rsid w:val="00B33B27"/>
    <w:rsid w:val="00B372AA"/>
    <w:rsid w:val="00B40445"/>
    <w:rsid w:val="00B409E0"/>
    <w:rsid w:val="00B41888"/>
    <w:rsid w:val="00B42106"/>
    <w:rsid w:val="00B455DA"/>
    <w:rsid w:val="00B45A52"/>
    <w:rsid w:val="00B46175"/>
    <w:rsid w:val="00B46B45"/>
    <w:rsid w:val="00B47F36"/>
    <w:rsid w:val="00B548B7"/>
    <w:rsid w:val="00B55E9B"/>
    <w:rsid w:val="00B57713"/>
    <w:rsid w:val="00B63D79"/>
    <w:rsid w:val="00B664C7"/>
    <w:rsid w:val="00B67D65"/>
    <w:rsid w:val="00B72DEA"/>
    <w:rsid w:val="00B739BC"/>
    <w:rsid w:val="00B739F6"/>
    <w:rsid w:val="00B75527"/>
    <w:rsid w:val="00B81A6C"/>
    <w:rsid w:val="00B855F1"/>
    <w:rsid w:val="00B85DE5"/>
    <w:rsid w:val="00B85F37"/>
    <w:rsid w:val="00B87CB4"/>
    <w:rsid w:val="00B904B7"/>
    <w:rsid w:val="00B90F73"/>
    <w:rsid w:val="00B91820"/>
    <w:rsid w:val="00B93B59"/>
    <w:rsid w:val="00B93C09"/>
    <w:rsid w:val="00B9406A"/>
    <w:rsid w:val="00B95173"/>
    <w:rsid w:val="00B95F7E"/>
    <w:rsid w:val="00B97B8D"/>
    <w:rsid w:val="00BA0A1E"/>
    <w:rsid w:val="00BA2280"/>
    <w:rsid w:val="00BA236C"/>
    <w:rsid w:val="00BA2A08"/>
    <w:rsid w:val="00BA56D2"/>
    <w:rsid w:val="00BA66DB"/>
    <w:rsid w:val="00BA765C"/>
    <w:rsid w:val="00BA76E0"/>
    <w:rsid w:val="00BB2A25"/>
    <w:rsid w:val="00BB2E1B"/>
    <w:rsid w:val="00BB4AEF"/>
    <w:rsid w:val="00BB51E9"/>
    <w:rsid w:val="00BB6651"/>
    <w:rsid w:val="00BC0FDC"/>
    <w:rsid w:val="00BC3053"/>
    <w:rsid w:val="00BC4561"/>
    <w:rsid w:val="00BC4D2E"/>
    <w:rsid w:val="00BD48AC"/>
    <w:rsid w:val="00BD5F1A"/>
    <w:rsid w:val="00BE1234"/>
    <w:rsid w:val="00BE23C6"/>
    <w:rsid w:val="00BE2FA6"/>
    <w:rsid w:val="00BE333F"/>
    <w:rsid w:val="00BE4541"/>
    <w:rsid w:val="00BE7406"/>
    <w:rsid w:val="00BE7603"/>
    <w:rsid w:val="00BF2EFA"/>
    <w:rsid w:val="00BF3279"/>
    <w:rsid w:val="00BF74C7"/>
    <w:rsid w:val="00C015F1"/>
    <w:rsid w:val="00C01F33"/>
    <w:rsid w:val="00C0296A"/>
    <w:rsid w:val="00C02CC6"/>
    <w:rsid w:val="00C040F7"/>
    <w:rsid w:val="00C044AB"/>
    <w:rsid w:val="00C05706"/>
    <w:rsid w:val="00C07377"/>
    <w:rsid w:val="00C10478"/>
    <w:rsid w:val="00C12107"/>
    <w:rsid w:val="00C1351D"/>
    <w:rsid w:val="00C14D4B"/>
    <w:rsid w:val="00C154BB"/>
    <w:rsid w:val="00C21D1D"/>
    <w:rsid w:val="00C27468"/>
    <w:rsid w:val="00C279B5"/>
    <w:rsid w:val="00C27C45"/>
    <w:rsid w:val="00C3719D"/>
    <w:rsid w:val="00C37CB2"/>
    <w:rsid w:val="00C460DC"/>
    <w:rsid w:val="00C473A5"/>
    <w:rsid w:val="00C47B05"/>
    <w:rsid w:val="00C535C0"/>
    <w:rsid w:val="00C5368B"/>
    <w:rsid w:val="00C54995"/>
    <w:rsid w:val="00C54D41"/>
    <w:rsid w:val="00C60783"/>
    <w:rsid w:val="00C61949"/>
    <w:rsid w:val="00C64672"/>
    <w:rsid w:val="00C65127"/>
    <w:rsid w:val="00C70697"/>
    <w:rsid w:val="00C72093"/>
    <w:rsid w:val="00C72EF4"/>
    <w:rsid w:val="00C744FE"/>
    <w:rsid w:val="00C75D2F"/>
    <w:rsid w:val="00C767BE"/>
    <w:rsid w:val="00C76E3C"/>
    <w:rsid w:val="00C81568"/>
    <w:rsid w:val="00C82955"/>
    <w:rsid w:val="00C8649E"/>
    <w:rsid w:val="00C87BF6"/>
    <w:rsid w:val="00C9027A"/>
    <w:rsid w:val="00C9068E"/>
    <w:rsid w:val="00C93814"/>
    <w:rsid w:val="00C93C4B"/>
    <w:rsid w:val="00C944AB"/>
    <w:rsid w:val="00C959A7"/>
    <w:rsid w:val="00C95B40"/>
    <w:rsid w:val="00CA1AAB"/>
    <w:rsid w:val="00CA1ED8"/>
    <w:rsid w:val="00CA62D6"/>
    <w:rsid w:val="00CA6FC1"/>
    <w:rsid w:val="00CA77F9"/>
    <w:rsid w:val="00CB1F63"/>
    <w:rsid w:val="00CB6147"/>
    <w:rsid w:val="00CB7170"/>
    <w:rsid w:val="00CC0181"/>
    <w:rsid w:val="00CC040E"/>
    <w:rsid w:val="00CC0428"/>
    <w:rsid w:val="00CC111F"/>
    <w:rsid w:val="00CC13E7"/>
    <w:rsid w:val="00CC2011"/>
    <w:rsid w:val="00CC3EA0"/>
    <w:rsid w:val="00CC62FD"/>
    <w:rsid w:val="00CC7B45"/>
    <w:rsid w:val="00CD1188"/>
    <w:rsid w:val="00CD2ED1"/>
    <w:rsid w:val="00CD337B"/>
    <w:rsid w:val="00CD3EA6"/>
    <w:rsid w:val="00CE0424"/>
    <w:rsid w:val="00CE0BF7"/>
    <w:rsid w:val="00CE4226"/>
    <w:rsid w:val="00CE7561"/>
    <w:rsid w:val="00CF1354"/>
    <w:rsid w:val="00CF1665"/>
    <w:rsid w:val="00CF3B1F"/>
    <w:rsid w:val="00CF3BF6"/>
    <w:rsid w:val="00CF3F6D"/>
    <w:rsid w:val="00CF625B"/>
    <w:rsid w:val="00CF650C"/>
    <w:rsid w:val="00CF687E"/>
    <w:rsid w:val="00CF6B21"/>
    <w:rsid w:val="00D02757"/>
    <w:rsid w:val="00D0349B"/>
    <w:rsid w:val="00D03D25"/>
    <w:rsid w:val="00D10249"/>
    <w:rsid w:val="00D115C3"/>
    <w:rsid w:val="00D11897"/>
    <w:rsid w:val="00D12902"/>
    <w:rsid w:val="00D13135"/>
    <w:rsid w:val="00D13E4E"/>
    <w:rsid w:val="00D20057"/>
    <w:rsid w:val="00D239A7"/>
    <w:rsid w:val="00D23F47"/>
    <w:rsid w:val="00D25EEB"/>
    <w:rsid w:val="00D27262"/>
    <w:rsid w:val="00D3468D"/>
    <w:rsid w:val="00D36E71"/>
    <w:rsid w:val="00D37D87"/>
    <w:rsid w:val="00D40108"/>
    <w:rsid w:val="00D4073D"/>
    <w:rsid w:val="00D40B33"/>
    <w:rsid w:val="00D41013"/>
    <w:rsid w:val="00D429EF"/>
    <w:rsid w:val="00D4318F"/>
    <w:rsid w:val="00D438BF"/>
    <w:rsid w:val="00D440F8"/>
    <w:rsid w:val="00D44574"/>
    <w:rsid w:val="00D51D24"/>
    <w:rsid w:val="00D546FF"/>
    <w:rsid w:val="00D55AD5"/>
    <w:rsid w:val="00D576CA"/>
    <w:rsid w:val="00D6013B"/>
    <w:rsid w:val="00D61AF5"/>
    <w:rsid w:val="00D649F4"/>
    <w:rsid w:val="00D652B5"/>
    <w:rsid w:val="00D66155"/>
    <w:rsid w:val="00D67FEC"/>
    <w:rsid w:val="00D708B0"/>
    <w:rsid w:val="00D7789E"/>
    <w:rsid w:val="00D77B1D"/>
    <w:rsid w:val="00D8021F"/>
    <w:rsid w:val="00D80383"/>
    <w:rsid w:val="00D823C6"/>
    <w:rsid w:val="00D8327F"/>
    <w:rsid w:val="00D86199"/>
    <w:rsid w:val="00D86CA3"/>
    <w:rsid w:val="00D871CE"/>
    <w:rsid w:val="00D9196D"/>
    <w:rsid w:val="00D92982"/>
    <w:rsid w:val="00DA305E"/>
    <w:rsid w:val="00DA4700"/>
    <w:rsid w:val="00DA5417"/>
    <w:rsid w:val="00DA56E8"/>
    <w:rsid w:val="00DB0A9F"/>
    <w:rsid w:val="00DB377D"/>
    <w:rsid w:val="00DB4592"/>
    <w:rsid w:val="00DB633F"/>
    <w:rsid w:val="00DC2D36"/>
    <w:rsid w:val="00DC5320"/>
    <w:rsid w:val="00DC53EF"/>
    <w:rsid w:val="00DD14D3"/>
    <w:rsid w:val="00DD2B76"/>
    <w:rsid w:val="00DE0175"/>
    <w:rsid w:val="00DE5608"/>
    <w:rsid w:val="00DE58D0"/>
    <w:rsid w:val="00DE654F"/>
    <w:rsid w:val="00DF0B6E"/>
    <w:rsid w:val="00DF15E0"/>
    <w:rsid w:val="00DF37A0"/>
    <w:rsid w:val="00DF38A6"/>
    <w:rsid w:val="00DF3EAF"/>
    <w:rsid w:val="00E0383A"/>
    <w:rsid w:val="00E04FDA"/>
    <w:rsid w:val="00E110E7"/>
    <w:rsid w:val="00E11B20"/>
    <w:rsid w:val="00E169DA"/>
    <w:rsid w:val="00E16CAF"/>
    <w:rsid w:val="00E17FA2"/>
    <w:rsid w:val="00E20D59"/>
    <w:rsid w:val="00E22330"/>
    <w:rsid w:val="00E27F55"/>
    <w:rsid w:val="00E30B5A"/>
    <w:rsid w:val="00E3123D"/>
    <w:rsid w:val="00E31461"/>
    <w:rsid w:val="00E31840"/>
    <w:rsid w:val="00E31D43"/>
    <w:rsid w:val="00E32608"/>
    <w:rsid w:val="00E34187"/>
    <w:rsid w:val="00E34188"/>
    <w:rsid w:val="00E34B6E"/>
    <w:rsid w:val="00E35559"/>
    <w:rsid w:val="00E3723A"/>
    <w:rsid w:val="00E37860"/>
    <w:rsid w:val="00E40AB2"/>
    <w:rsid w:val="00E43FCB"/>
    <w:rsid w:val="00E446F1"/>
    <w:rsid w:val="00E45E53"/>
    <w:rsid w:val="00E46886"/>
    <w:rsid w:val="00E469A2"/>
    <w:rsid w:val="00E47AEF"/>
    <w:rsid w:val="00E510F2"/>
    <w:rsid w:val="00E53B75"/>
    <w:rsid w:val="00E54E3B"/>
    <w:rsid w:val="00E57565"/>
    <w:rsid w:val="00E60C6E"/>
    <w:rsid w:val="00E613A8"/>
    <w:rsid w:val="00E63838"/>
    <w:rsid w:val="00E63B18"/>
    <w:rsid w:val="00E64434"/>
    <w:rsid w:val="00E663A6"/>
    <w:rsid w:val="00E66CD5"/>
    <w:rsid w:val="00E67C51"/>
    <w:rsid w:val="00E72EFC"/>
    <w:rsid w:val="00E74338"/>
    <w:rsid w:val="00E7479C"/>
    <w:rsid w:val="00E758EC"/>
    <w:rsid w:val="00E80A1D"/>
    <w:rsid w:val="00E8234C"/>
    <w:rsid w:val="00E83AA9"/>
    <w:rsid w:val="00E85928"/>
    <w:rsid w:val="00E87822"/>
    <w:rsid w:val="00E87D43"/>
    <w:rsid w:val="00E90395"/>
    <w:rsid w:val="00E90E49"/>
    <w:rsid w:val="00E917F9"/>
    <w:rsid w:val="00E9291C"/>
    <w:rsid w:val="00E93FFE"/>
    <w:rsid w:val="00E94F8A"/>
    <w:rsid w:val="00EA4D12"/>
    <w:rsid w:val="00EA5AFC"/>
    <w:rsid w:val="00EA67B6"/>
    <w:rsid w:val="00EA6CC2"/>
    <w:rsid w:val="00EA7A41"/>
    <w:rsid w:val="00EB0516"/>
    <w:rsid w:val="00EB077B"/>
    <w:rsid w:val="00EB4EA2"/>
    <w:rsid w:val="00EC24D5"/>
    <w:rsid w:val="00EC27C6"/>
    <w:rsid w:val="00EC4207"/>
    <w:rsid w:val="00EC5653"/>
    <w:rsid w:val="00EC71CE"/>
    <w:rsid w:val="00ED1006"/>
    <w:rsid w:val="00ED1717"/>
    <w:rsid w:val="00ED377B"/>
    <w:rsid w:val="00ED39EE"/>
    <w:rsid w:val="00EE13F3"/>
    <w:rsid w:val="00EE5646"/>
    <w:rsid w:val="00EE7329"/>
    <w:rsid w:val="00EF067D"/>
    <w:rsid w:val="00EF18FE"/>
    <w:rsid w:val="00EF5787"/>
    <w:rsid w:val="00EF5DBF"/>
    <w:rsid w:val="00EF60D0"/>
    <w:rsid w:val="00EF77BE"/>
    <w:rsid w:val="00F001EC"/>
    <w:rsid w:val="00F01C00"/>
    <w:rsid w:val="00F01D00"/>
    <w:rsid w:val="00F0528D"/>
    <w:rsid w:val="00F06C67"/>
    <w:rsid w:val="00F06DFD"/>
    <w:rsid w:val="00F071D1"/>
    <w:rsid w:val="00F07533"/>
    <w:rsid w:val="00F10629"/>
    <w:rsid w:val="00F124C2"/>
    <w:rsid w:val="00F13653"/>
    <w:rsid w:val="00F15FA5"/>
    <w:rsid w:val="00F1742C"/>
    <w:rsid w:val="00F209B7"/>
    <w:rsid w:val="00F2376F"/>
    <w:rsid w:val="00F239FC"/>
    <w:rsid w:val="00F243D8"/>
    <w:rsid w:val="00F30828"/>
    <w:rsid w:val="00F313D6"/>
    <w:rsid w:val="00F32559"/>
    <w:rsid w:val="00F351A3"/>
    <w:rsid w:val="00F40F0C"/>
    <w:rsid w:val="00F4200A"/>
    <w:rsid w:val="00F4350E"/>
    <w:rsid w:val="00F4766C"/>
    <w:rsid w:val="00F47B7C"/>
    <w:rsid w:val="00F505D4"/>
    <w:rsid w:val="00F5060E"/>
    <w:rsid w:val="00F507D1"/>
    <w:rsid w:val="00F50D94"/>
    <w:rsid w:val="00F5130E"/>
    <w:rsid w:val="00F519CE"/>
    <w:rsid w:val="00F51ADA"/>
    <w:rsid w:val="00F51C41"/>
    <w:rsid w:val="00F53922"/>
    <w:rsid w:val="00F55F54"/>
    <w:rsid w:val="00F60203"/>
    <w:rsid w:val="00F607C5"/>
    <w:rsid w:val="00F60DEA"/>
    <w:rsid w:val="00F622CE"/>
    <w:rsid w:val="00F6302A"/>
    <w:rsid w:val="00F63950"/>
    <w:rsid w:val="00F64C2B"/>
    <w:rsid w:val="00F651BE"/>
    <w:rsid w:val="00F65599"/>
    <w:rsid w:val="00F65D14"/>
    <w:rsid w:val="00F67E2B"/>
    <w:rsid w:val="00F67F53"/>
    <w:rsid w:val="00F703BE"/>
    <w:rsid w:val="00F71F69"/>
    <w:rsid w:val="00F72B72"/>
    <w:rsid w:val="00F72E33"/>
    <w:rsid w:val="00F736D8"/>
    <w:rsid w:val="00F74BB9"/>
    <w:rsid w:val="00F75582"/>
    <w:rsid w:val="00F76466"/>
    <w:rsid w:val="00F76EFA"/>
    <w:rsid w:val="00F804BE"/>
    <w:rsid w:val="00F817CE"/>
    <w:rsid w:val="00F8456C"/>
    <w:rsid w:val="00F859D8"/>
    <w:rsid w:val="00F868F5"/>
    <w:rsid w:val="00F9056A"/>
    <w:rsid w:val="00F90F8D"/>
    <w:rsid w:val="00F92782"/>
    <w:rsid w:val="00F93AA9"/>
    <w:rsid w:val="00F94C37"/>
    <w:rsid w:val="00F96308"/>
    <w:rsid w:val="00F96985"/>
    <w:rsid w:val="00F971F7"/>
    <w:rsid w:val="00F97838"/>
    <w:rsid w:val="00FA0ECA"/>
    <w:rsid w:val="00FA2BB3"/>
    <w:rsid w:val="00FA42A8"/>
    <w:rsid w:val="00FA4392"/>
    <w:rsid w:val="00FA6F93"/>
    <w:rsid w:val="00FB4C80"/>
    <w:rsid w:val="00FB6A6A"/>
    <w:rsid w:val="00FC1CD2"/>
    <w:rsid w:val="00FC3480"/>
    <w:rsid w:val="00FC7363"/>
    <w:rsid w:val="00FC7429"/>
    <w:rsid w:val="00FD07F6"/>
    <w:rsid w:val="00FD1338"/>
    <w:rsid w:val="00FD1EC8"/>
    <w:rsid w:val="00FD3C47"/>
    <w:rsid w:val="00FD47ED"/>
    <w:rsid w:val="00FD74DB"/>
    <w:rsid w:val="00FD7660"/>
    <w:rsid w:val="00FE0655"/>
    <w:rsid w:val="00FE0816"/>
    <w:rsid w:val="00FE1AC2"/>
    <w:rsid w:val="00FE2365"/>
    <w:rsid w:val="00FE2DD0"/>
    <w:rsid w:val="00FE37D7"/>
    <w:rsid w:val="00FE4C7B"/>
    <w:rsid w:val="00FE5257"/>
    <w:rsid w:val="00FE7336"/>
    <w:rsid w:val="00FE787C"/>
    <w:rsid w:val="00FE7FD8"/>
    <w:rsid w:val="00FF0A5A"/>
    <w:rsid w:val="00FF33C5"/>
    <w:rsid w:val="00FF45A5"/>
    <w:rsid w:val="00FF47CB"/>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483F8B"/>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5F2DB-8531-4330-AB12-3062E9AC2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847</Words>
  <Characters>6861</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2019-02-15T17:33:00Z</dcterms:created>
  <dcterms:modified xsi:type="dcterms:W3CDTF">2019-02-15T17:33:00Z</dcterms:modified>
  <cp:category/>
</cp:coreProperties>
</file>